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B0E" w:rsidRPr="00933B0E" w:rsidRDefault="00933B0E" w:rsidP="00933B0E">
      <w:pPr>
        <w:spacing w:line="480" w:lineRule="auto"/>
        <w:rPr>
          <w:rFonts w:ascii="Times New Roman" w:eastAsia="Times New Roman" w:hAnsi="Times New Roman" w:cs="Times New Roman"/>
          <w:sz w:val="24"/>
          <w:szCs w:val="24"/>
        </w:rPr>
      </w:pPr>
    </w:p>
    <w:p w:rsidR="00933B0E" w:rsidRPr="00933B0E" w:rsidRDefault="00933B0E" w:rsidP="00933B0E">
      <w:pPr>
        <w:spacing w:line="480" w:lineRule="auto"/>
        <w:rPr>
          <w:rFonts w:ascii="Times New Roman" w:eastAsia="Times New Roman" w:hAnsi="Times New Roman" w:cs="Times New Roman"/>
          <w:sz w:val="24"/>
          <w:szCs w:val="24"/>
        </w:rPr>
      </w:pPr>
    </w:p>
    <w:p w:rsidR="00933B0E" w:rsidRPr="00933B0E" w:rsidRDefault="00933B0E" w:rsidP="00933B0E">
      <w:pPr>
        <w:spacing w:line="480" w:lineRule="auto"/>
        <w:rPr>
          <w:rFonts w:ascii="Times New Roman" w:eastAsia="Times New Roman" w:hAnsi="Times New Roman" w:cs="Times New Roman"/>
          <w:sz w:val="24"/>
          <w:szCs w:val="24"/>
        </w:rPr>
      </w:pPr>
    </w:p>
    <w:p w:rsidR="00933B0E" w:rsidRPr="00933B0E" w:rsidRDefault="00933B0E" w:rsidP="00933B0E">
      <w:pPr>
        <w:spacing w:line="480" w:lineRule="auto"/>
        <w:rPr>
          <w:rFonts w:ascii="Times New Roman" w:eastAsia="Times New Roman" w:hAnsi="Times New Roman" w:cs="Times New Roman"/>
          <w:sz w:val="24"/>
          <w:szCs w:val="24"/>
        </w:rPr>
      </w:pPr>
    </w:p>
    <w:p w:rsidR="00933B0E" w:rsidRPr="00933B0E" w:rsidRDefault="00933B0E" w:rsidP="00933B0E">
      <w:pPr>
        <w:spacing w:line="480" w:lineRule="auto"/>
        <w:rPr>
          <w:rFonts w:ascii="Times New Roman" w:eastAsia="Times New Roman" w:hAnsi="Times New Roman" w:cs="Times New Roman"/>
          <w:sz w:val="24"/>
          <w:szCs w:val="24"/>
        </w:rPr>
      </w:pPr>
    </w:p>
    <w:p w:rsidR="00933B0E" w:rsidRPr="00933B0E" w:rsidRDefault="00933B0E" w:rsidP="00933B0E">
      <w:pPr>
        <w:spacing w:line="480" w:lineRule="auto"/>
        <w:rPr>
          <w:rFonts w:ascii="Times New Roman" w:eastAsia="Times New Roman" w:hAnsi="Times New Roman" w:cs="Times New Roman"/>
          <w:sz w:val="24"/>
          <w:szCs w:val="24"/>
        </w:rPr>
      </w:pPr>
    </w:p>
    <w:p w:rsidR="00933B0E" w:rsidRPr="00933B0E" w:rsidRDefault="00933B0E" w:rsidP="00933B0E">
      <w:pPr>
        <w:spacing w:line="480" w:lineRule="auto"/>
        <w:jc w:val="center"/>
        <w:rPr>
          <w:rFonts w:ascii="Times New Roman" w:eastAsia="Times New Roman" w:hAnsi="Times New Roman" w:cs="Times New Roman"/>
          <w:b/>
          <w:sz w:val="24"/>
          <w:szCs w:val="24"/>
        </w:rPr>
      </w:pPr>
      <w:r w:rsidRPr="00933B0E">
        <w:rPr>
          <w:rFonts w:ascii="Times New Roman" w:eastAsia="Times New Roman" w:hAnsi="Times New Roman" w:cs="Times New Roman"/>
          <w:b/>
          <w:sz w:val="24"/>
          <w:szCs w:val="24"/>
        </w:rPr>
        <w:t>Law Assignment about Employment</w:t>
      </w:r>
    </w:p>
    <w:p w:rsidR="00933B0E" w:rsidRPr="00933B0E" w:rsidRDefault="00933B0E" w:rsidP="00933B0E">
      <w:pPr>
        <w:spacing w:line="480" w:lineRule="auto"/>
        <w:jc w:val="center"/>
        <w:rPr>
          <w:rFonts w:ascii="Times New Roman" w:eastAsia="Times New Roman" w:hAnsi="Times New Roman" w:cs="Times New Roman"/>
          <w:sz w:val="24"/>
          <w:szCs w:val="24"/>
        </w:rPr>
      </w:pPr>
      <w:r w:rsidRPr="00933B0E">
        <w:rPr>
          <w:rFonts w:ascii="Times New Roman" w:eastAsia="Times New Roman" w:hAnsi="Times New Roman" w:cs="Times New Roman"/>
          <w:sz w:val="24"/>
          <w:szCs w:val="24"/>
        </w:rPr>
        <w:t>Name</w:t>
      </w:r>
    </w:p>
    <w:p w:rsidR="00933B0E" w:rsidRPr="00933B0E" w:rsidRDefault="00933B0E" w:rsidP="00933B0E">
      <w:pPr>
        <w:spacing w:line="480" w:lineRule="auto"/>
        <w:jc w:val="center"/>
        <w:rPr>
          <w:rFonts w:ascii="Times New Roman" w:eastAsia="Times New Roman" w:hAnsi="Times New Roman" w:cs="Times New Roman"/>
          <w:sz w:val="24"/>
          <w:szCs w:val="24"/>
        </w:rPr>
      </w:pPr>
      <w:r w:rsidRPr="00933B0E">
        <w:rPr>
          <w:rFonts w:ascii="Times New Roman" w:eastAsia="Times New Roman" w:hAnsi="Times New Roman" w:cs="Times New Roman"/>
          <w:sz w:val="24"/>
          <w:szCs w:val="24"/>
        </w:rPr>
        <w:t>Institution</w:t>
      </w:r>
    </w:p>
    <w:p w:rsidR="00933B0E" w:rsidRPr="00933B0E" w:rsidRDefault="00933B0E" w:rsidP="00933B0E">
      <w:pPr>
        <w:spacing w:line="480" w:lineRule="auto"/>
        <w:jc w:val="center"/>
        <w:rPr>
          <w:rFonts w:ascii="Times New Roman" w:eastAsia="Times New Roman" w:hAnsi="Times New Roman" w:cs="Times New Roman"/>
          <w:sz w:val="24"/>
          <w:szCs w:val="24"/>
        </w:rPr>
      </w:pPr>
      <w:r w:rsidRPr="00933B0E">
        <w:rPr>
          <w:rFonts w:ascii="Times New Roman" w:eastAsia="Times New Roman" w:hAnsi="Times New Roman" w:cs="Times New Roman"/>
          <w:sz w:val="24"/>
          <w:szCs w:val="24"/>
        </w:rPr>
        <w:t>Date</w:t>
      </w:r>
    </w:p>
    <w:p w:rsidR="00933B0E" w:rsidRPr="00933B0E" w:rsidRDefault="00933B0E" w:rsidP="00933B0E">
      <w:pPr>
        <w:spacing w:line="480" w:lineRule="auto"/>
        <w:rPr>
          <w:rFonts w:ascii="Times New Roman" w:eastAsia="Times New Roman" w:hAnsi="Times New Roman" w:cs="Times New Roman"/>
          <w:sz w:val="24"/>
          <w:szCs w:val="24"/>
        </w:rPr>
      </w:pPr>
    </w:p>
    <w:p w:rsidR="00933B0E" w:rsidRPr="00933B0E" w:rsidRDefault="00933B0E" w:rsidP="00933B0E">
      <w:pPr>
        <w:spacing w:line="480" w:lineRule="auto"/>
        <w:rPr>
          <w:rFonts w:ascii="Times New Roman" w:eastAsia="Times New Roman" w:hAnsi="Times New Roman" w:cs="Times New Roman"/>
          <w:sz w:val="24"/>
          <w:szCs w:val="24"/>
        </w:rPr>
      </w:pPr>
    </w:p>
    <w:p w:rsidR="00933B0E" w:rsidRDefault="00933B0E" w:rsidP="00933B0E">
      <w:pPr>
        <w:spacing w:line="480" w:lineRule="auto"/>
        <w:rPr>
          <w:rFonts w:ascii="Times New Roman" w:eastAsia="Times New Roman" w:hAnsi="Times New Roman" w:cs="Times New Roman"/>
          <w:sz w:val="24"/>
          <w:szCs w:val="24"/>
        </w:rPr>
      </w:pPr>
    </w:p>
    <w:p w:rsidR="00933B0E" w:rsidRDefault="00933B0E" w:rsidP="00933B0E">
      <w:pPr>
        <w:spacing w:line="480" w:lineRule="auto"/>
        <w:rPr>
          <w:rFonts w:ascii="Times New Roman" w:eastAsia="Times New Roman" w:hAnsi="Times New Roman" w:cs="Times New Roman"/>
          <w:sz w:val="24"/>
          <w:szCs w:val="24"/>
        </w:rPr>
      </w:pPr>
    </w:p>
    <w:p w:rsidR="00933B0E" w:rsidRDefault="00933B0E" w:rsidP="00933B0E">
      <w:pPr>
        <w:spacing w:line="480" w:lineRule="auto"/>
        <w:rPr>
          <w:rFonts w:ascii="Times New Roman" w:eastAsia="Times New Roman" w:hAnsi="Times New Roman" w:cs="Times New Roman"/>
          <w:sz w:val="24"/>
          <w:szCs w:val="24"/>
        </w:rPr>
      </w:pPr>
    </w:p>
    <w:p w:rsidR="00933B0E" w:rsidRDefault="00933B0E" w:rsidP="00933B0E">
      <w:pPr>
        <w:spacing w:line="480" w:lineRule="auto"/>
        <w:rPr>
          <w:rFonts w:ascii="Times New Roman" w:eastAsia="Times New Roman" w:hAnsi="Times New Roman" w:cs="Times New Roman"/>
          <w:sz w:val="24"/>
          <w:szCs w:val="24"/>
        </w:rPr>
      </w:pPr>
    </w:p>
    <w:p w:rsidR="00933B0E" w:rsidRDefault="00933B0E" w:rsidP="00933B0E">
      <w:pPr>
        <w:spacing w:line="480" w:lineRule="auto"/>
        <w:rPr>
          <w:rFonts w:ascii="Times New Roman" w:eastAsia="Times New Roman" w:hAnsi="Times New Roman" w:cs="Times New Roman"/>
          <w:sz w:val="24"/>
          <w:szCs w:val="24"/>
        </w:rPr>
      </w:pPr>
    </w:p>
    <w:p w:rsidR="004A68A7" w:rsidRPr="00933B0E" w:rsidRDefault="004A68A7" w:rsidP="00933B0E">
      <w:pPr>
        <w:spacing w:line="480" w:lineRule="auto"/>
        <w:jc w:val="center"/>
        <w:rPr>
          <w:rFonts w:ascii="Times New Roman" w:eastAsia="Times New Roman" w:hAnsi="Times New Roman" w:cs="Times New Roman"/>
          <w:b/>
          <w:sz w:val="24"/>
          <w:szCs w:val="24"/>
        </w:rPr>
      </w:pPr>
      <w:r w:rsidRPr="00933B0E">
        <w:rPr>
          <w:rFonts w:ascii="Times New Roman" w:eastAsia="Times New Roman" w:hAnsi="Times New Roman" w:cs="Times New Roman"/>
          <w:b/>
          <w:sz w:val="24"/>
          <w:szCs w:val="24"/>
        </w:rPr>
        <w:lastRenderedPageBreak/>
        <w:t>Law Assignment about Employment</w:t>
      </w:r>
    </w:p>
    <w:p w:rsidR="004A68A7" w:rsidRPr="00933B0E" w:rsidRDefault="004A68A7" w:rsidP="00933B0E">
      <w:pPr>
        <w:spacing w:line="480" w:lineRule="auto"/>
        <w:jc w:val="center"/>
        <w:rPr>
          <w:rFonts w:ascii="Times New Roman" w:eastAsia="Times New Roman" w:hAnsi="Times New Roman" w:cs="Times New Roman"/>
          <w:b/>
          <w:sz w:val="24"/>
          <w:szCs w:val="24"/>
        </w:rPr>
      </w:pPr>
      <w:r w:rsidRPr="00933B0E">
        <w:rPr>
          <w:rFonts w:ascii="Times New Roman" w:eastAsia="Times New Roman" w:hAnsi="Times New Roman" w:cs="Times New Roman"/>
          <w:b/>
          <w:sz w:val="24"/>
          <w:szCs w:val="24"/>
        </w:rPr>
        <w:t>Question 2</w:t>
      </w:r>
    </w:p>
    <w:p w:rsidR="004A68A7" w:rsidRPr="00933B0E" w:rsidRDefault="004A68A7" w:rsidP="00933B0E">
      <w:pPr>
        <w:spacing w:line="480" w:lineRule="auto"/>
        <w:rPr>
          <w:rFonts w:ascii="Times New Roman" w:eastAsia="Times New Roman" w:hAnsi="Times New Roman" w:cs="Times New Roman"/>
          <w:b/>
          <w:sz w:val="24"/>
          <w:szCs w:val="24"/>
        </w:rPr>
      </w:pPr>
      <w:r w:rsidRPr="00933B0E">
        <w:rPr>
          <w:rFonts w:ascii="Times New Roman" w:eastAsia="Times New Roman" w:hAnsi="Times New Roman" w:cs="Times New Roman"/>
          <w:b/>
          <w:sz w:val="24"/>
          <w:szCs w:val="24"/>
        </w:rPr>
        <w:t>Part 1</w:t>
      </w:r>
    </w:p>
    <w:p w:rsidR="004A68A7" w:rsidRPr="00933B0E" w:rsidRDefault="004A68A7" w:rsidP="00933B0E">
      <w:pPr>
        <w:spacing w:line="480" w:lineRule="auto"/>
        <w:rPr>
          <w:rFonts w:ascii="Times New Roman" w:eastAsia="Times New Roman" w:hAnsi="Times New Roman" w:cs="Times New Roman"/>
          <w:b/>
          <w:sz w:val="24"/>
          <w:szCs w:val="24"/>
        </w:rPr>
      </w:pPr>
      <w:r w:rsidRPr="00933B0E">
        <w:rPr>
          <w:rFonts w:ascii="Times New Roman" w:eastAsia="Times New Roman" w:hAnsi="Times New Roman" w:cs="Times New Roman"/>
          <w:b/>
          <w:sz w:val="24"/>
          <w:szCs w:val="24"/>
        </w:rPr>
        <w:t>Mary's Position</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 xml:space="preserve">Mary stands a chance to lodge a claim in an employment tribunal. Mary's case can be categorized as constructive dismissal. According to section 2 of the Unfair Dismissals Act of 1977, constructive dismissal is whereby an employee terminates their employment contract with their employer with or without prior notice as a result of the employer's conduct. </w:t>
      </w:r>
      <w:r w:rsidRPr="001D4D3B">
        <w:rPr>
          <w:rFonts w:ascii="Times New Roman" w:eastAsia="Times New Roman" w:hAnsi="Times New Roman" w:cs="Times New Roman"/>
          <w:sz w:val="24"/>
          <w:szCs w:val="24"/>
        </w:rPr>
        <w:t>Under constructive dismissal, an employee is forced to terminate their employment contracts not because they are willing, but due to the conduct of their employers</w:t>
      </w:r>
      <w:r w:rsidR="001D4D3B" w:rsidRPr="001D4D3B">
        <w:rPr>
          <w:rFonts w:ascii="Times New Roman" w:eastAsia="Times New Roman" w:hAnsi="Times New Roman" w:cs="Times New Roman"/>
          <w:sz w:val="24"/>
          <w:szCs w:val="24"/>
        </w:rPr>
        <w:t>(</w:t>
      </w:r>
      <w:r w:rsidR="001D4D3B" w:rsidRPr="001D4D3B">
        <w:rPr>
          <w:rFonts w:ascii="Times New Roman" w:hAnsi="Times New Roman" w:cs="Times New Roman"/>
          <w:sz w:val="24"/>
          <w:szCs w:val="24"/>
        </w:rPr>
        <w:t>Law Reform Commission, 2016)</w:t>
      </w:r>
      <w:r w:rsidRPr="001D4D3B">
        <w:rPr>
          <w:rFonts w:ascii="Times New Roman" w:eastAsia="Times New Roman" w:hAnsi="Times New Roman" w:cs="Times New Roman"/>
          <w:sz w:val="24"/>
          <w:szCs w:val="24"/>
        </w:rPr>
        <w:t>.</w:t>
      </w:r>
      <w:r w:rsidRPr="008C7519">
        <w:rPr>
          <w:rFonts w:ascii="Times New Roman" w:eastAsia="Times New Roman" w:hAnsi="Times New Roman" w:cs="Times New Roman"/>
          <w:sz w:val="24"/>
          <w:szCs w:val="24"/>
          <w:highlight w:val="yellow"/>
        </w:rPr>
        <w:t xml:space="preserve"> For example, in the case of Mary, she was excluded from doing any work or making any contact with the employees of her company unless expressly authorized to do so. In addition, her internet facilities were withdrawn, and her phone was disconnected. She sought a meeting with the Human Resource Manager, but he never showed up, and in the last week she worked for her employer, the light and heat in her office were cut off. It is as a result of this misconduct of Mary's employer tha</w:t>
      </w:r>
      <w:r w:rsidR="009545E0" w:rsidRPr="008C7519">
        <w:rPr>
          <w:rFonts w:ascii="Times New Roman" w:eastAsia="Times New Roman" w:hAnsi="Times New Roman" w:cs="Times New Roman"/>
          <w:sz w:val="24"/>
          <w:szCs w:val="24"/>
          <w:highlight w:val="yellow"/>
        </w:rPr>
        <w:t>t she decided to leave her job.</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1D4D3B">
        <w:rPr>
          <w:rFonts w:ascii="Times New Roman" w:eastAsia="Times New Roman" w:hAnsi="Times New Roman" w:cs="Times New Roman"/>
          <w:sz w:val="24"/>
          <w:szCs w:val="24"/>
        </w:rPr>
        <w:t>One of the case laws that support the above explanation is that of Byrne v RHM Foods (Ireland) Ltd UD 69/79</w:t>
      </w:r>
      <w:r w:rsidR="009545E0" w:rsidRPr="001D4D3B">
        <w:rPr>
          <w:rFonts w:ascii="Times New Roman" w:eastAsia="Times New Roman" w:hAnsi="Times New Roman" w:cs="Times New Roman"/>
          <w:sz w:val="24"/>
          <w:szCs w:val="24"/>
        </w:rPr>
        <w:t xml:space="preserve"> (Peninsula Team, 2012</w:t>
      </w:r>
      <w:r w:rsidR="009545E0" w:rsidRPr="001D4D3B">
        <w:rPr>
          <w:rFonts w:ascii="Times New Roman" w:eastAsia="Times New Roman" w:hAnsi="Times New Roman" w:cs="Times New Roman"/>
          <w:b/>
          <w:sz w:val="24"/>
          <w:szCs w:val="24"/>
        </w:rPr>
        <w:t>)</w:t>
      </w:r>
      <w:r w:rsidRPr="001D4D3B">
        <w:rPr>
          <w:rFonts w:ascii="Times New Roman" w:eastAsia="Times New Roman" w:hAnsi="Times New Roman" w:cs="Times New Roman"/>
          <w:sz w:val="24"/>
          <w:szCs w:val="24"/>
        </w:rPr>
        <w:t xml:space="preserve">. In this case, Byrne, the plaintiff was </w:t>
      </w:r>
      <w:r w:rsidR="00CF7A23" w:rsidRPr="001D4D3B">
        <w:rPr>
          <w:rFonts w:ascii="Times New Roman" w:eastAsia="Times New Roman" w:hAnsi="Times New Roman" w:cs="Times New Roman"/>
          <w:sz w:val="24"/>
          <w:szCs w:val="24"/>
        </w:rPr>
        <w:t>working</w:t>
      </w:r>
      <w:r w:rsidRPr="001D4D3B">
        <w:rPr>
          <w:rFonts w:ascii="Times New Roman" w:eastAsia="Times New Roman" w:hAnsi="Times New Roman" w:cs="Times New Roman"/>
          <w:sz w:val="24"/>
          <w:szCs w:val="24"/>
        </w:rPr>
        <w:t xml:space="preserve"> as the personal secretary of the marketing manager of RHM Foods Ltd. However, the company suspended the marketing manager and gave an assurance to Byrne of her job. Surprisingly, the company withdrew all the work-related assigned under Byrne, her filing cabinets were removed, and she was isolated from the other organizational managers. Additionally, Byrne's phone was </w:t>
      </w:r>
      <w:r w:rsidRPr="001D4D3B">
        <w:rPr>
          <w:rFonts w:ascii="Times New Roman" w:eastAsia="Times New Roman" w:hAnsi="Times New Roman" w:cs="Times New Roman"/>
          <w:sz w:val="24"/>
          <w:szCs w:val="24"/>
        </w:rPr>
        <w:lastRenderedPageBreak/>
        <w:t xml:space="preserve">cut off, and her doctor reported that she had a chronic nervous strain. It was as a result of such treatment that she decided to claim constructive dismissal. The involved Employment Appeal Tribunal ruled in </w:t>
      </w:r>
      <w:r w:rsidR="009545E0" w:rsidRPr="001D4D3B">
        <w:rPr>
          <w:rFonts w:ascii="Times New Roman" w:eastAsia="Times New Roman" w:hAnsi="Times New Roman" w:cs="Times New Roman"/>
          <w:sz w:val="24"/>
          <w:szCs w:val="24"/>
        </w:rPr>
        <w:t>favor</w:t>
      </w:r>
      <w:r w:rsidRPr="001D4D3B">
        <w:rPr>
          <w:rFonts w:ascii="Times New Roman" w:eastAsia="Times New Roman" w:hAnsi="Times New Roman" w:cs="Times New Roman"/>
          <w:sz w:val="24"/>
          <w:szCs w:val="24"/>
        </w:rPr>
        <w:t xml:space="preserve"> of the plaintiff, Byrne. The tribunal recognized that differences with upper management might arise, but for the case of Byrne, she was subjected to isolation for around 3 weeks without being informed of what was going on, and she was also not allowed to get in touch with any of the organization's employees</w:t>
      </w:r>
      <w:r w:rsidR="009545E0" w:rsidRPr="001D4D3B">
        <w:rPr>
          <w:rFonts w:ascii="Times New Roman" w:eastAsia="Times New Roman" w:hAnsi="Times New Roman" w:cs="Times New Roman"/>
          <w:sz w:val="24"/>
          <w:szCs w:val="24"/>
        </w:rPr>
        <w:t xml:space="preserve"> (Peninsula Team, 2012)</w:t>
      </w:r>
      <w:r w:rsidRPr="001D4D3B">
        <w:rPr>
          <w:rFonts w:ascii="Times New Roman" w:eastAsia="Times New Roman" w:hAnsi="Times New Roman" w:cs="Times New Roman"/>
          <w:sz w:val="24"/>
          <w:szCs w:val="24"/>
        </w:rPr>
        <w:t>. During this period, the managing director should have ensured effective communication with Byrne to give her assurance of her position and thus build her trust as well as confidence.</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 xml:space="preserve">In addition, the dismissal of Mary was neither procedural nor fair. The Unfair Dismissals Act holds that unfair employee dismissals are not lawful and may give rise to a claim presentable in an employment tribunal. </w:t>
      </w:r>
      <w:r w:rsidRPr="001D4D3B">
        <w:rPr>
          <w:rFonts w:ascii="Times New Roman" w:eastAsia="Times New Roman" w:hAnsi="Times New Roman" w:cs="Times New Roman"/>
          <w:sz w:val="24"/>
          <w:szCs w:val="24"/>
        </w:rPr>
        <w:t>Before an employer can make any decision to dismiss an employer, they have to do a thorough investigation of any claim and issue warnings to employees</w:t>
      </w:r>
      <w:r w:rsidR="001D4D3B" w:rsidRPr="001D4D3B">
        <w:rPr>
          <w:rFonts w:ascii="Times New Roman" w:eastAsia="Times New Roman" w:hAnsi="Times New Roman" w:cs="Times New Roman"/>
          <w:sz w:val="24"/>
          <w:szCs w:val="24"/>
        </w:rPr>
        <w:t>(</w:t>
      </w:r>
      <w:r w:rsidR="001D4D3B" w:rsidRPr="001D4D3B">
        <w:rPr>
          <w:rStyle w:val="englishlanguage"/>
          <w:rFonts w:ascii="Times New Roman" w:hAnsi="Times New Roman" w:cs="Times New Roman"/>
          <w:sz w:val="24"/>
          <w:szCs w:val="24"/>
        </w:rPr>
        <w:t>Electronic Irish Statute Book, 2015</w:t>
      </w:r>
      <w:r w:rsidR="001D4D3B" w:rsidRPr="001D4D3B">
        <w:rPr>
          <w:rStyle w:val="englishlanguage"/>
          <w:rFonts w:ascii="Times New Roman" w:hAnsi="Times New Roman" w:cs="Times New Roman"/>
          <w:b/>
          <w:sz w:val="24"/>
          <w:szCs w:val="24"/>
        </w:rPr>
        <w:t>)</w:t>
      </w:r>
      <w:r w:rsidRPr="001D4D3B">
        <w:rPr>
          <w:rFonts w:ascii="Times New Roman" w:eastAsia="Times New Roman" w:hAnsi="Times New Roman" w:cs="Times New Roman"/>
          <w:sz w:val="24"/>
          <w:szCs w:val="24"/>
        </w:rPr>
        <w:t xml:space="preserve">. </w:t>
      </w:r>
      <w:r w:rsidRPr="008C7519">
        <w:rPr>
          <w:rFonts w:ascii="Times New Roman" w:eastAsia="Times New Roman" w:hAnsi="Times New Roman" w:cs="Times New Roman"/>
          <w:sz w:val="24"/>
          <w:szCs w:val="24"/>
          <w:highlight w:val="yellow"/>
        </w:rPr>
        <w:t xml:space="preserve">The claims placed to Mary were just allegations, and the company did neither undertake any investigation, nor did it issue her with any warning, and therefore her mistreatment was unacceptable legally. The Human Resources Manager has failed to show up for a meeting with Mary to discuss her situation, and therefore she was not given the opportunity to defend herself, which is a right recognized in the employment tribunals. Therefore, Mary has a chance to sue her employer in an Employment Appeal Tribunal. </w:t>
      </w:r>
    </w:p>
    <w:p w:rsidR="004A68A7" w:rsidRPr="008C7519" w:rsidRDefault="004A68A7" w:rsidP="00933B0E">
      <w:pPr>
        <w:spacing w:line="480" w:lineRule="auto"/>
        <w:rPr>
          <w:rFonts w:ascii="Times New Roman" w:eastAsia="Times New Roman" w:hAnsi="Times New Roman" w:cs="Times New Roman"/>
          <w:b/>
          <w:sz w:val="24"/>
          <w:szCs w:val="24"/>
          <w:highlight w:val="yellow"/>
        </w:rPr>
      </w:pPr>
      <w:r w:rsidRPr="008C7519">
        <w:rPr>
          <w:rFonts w:ascii="Times New Roman" w:eastAsia="Times New Roman" w:hAnsi="Times New Roman" w:cs="Times New Roman"/>
          <w:b/>
          <w:sz w:val="24"/>
          <w:szCs w:val="24"/>
          <w:highlight w:val="yellow"/>
        </w:rPr>
        <w:t>Mary's Possible Remedies</w:t>
      </w:r>
    </w:p>
    <w:p w:rsidR="004A68A7" w:rsidRPr="00933B0E" w:rsidRDefault="004A68A7" w:rsidP="00933B0E">
      <w:pPr>
        <w:spacing w:line="480" w:lineRule="auto"/>
        <w:ind w:firstLine="720"/>
        <w:rPr>
          <w:rFonts w:ascii="Times New Roman" w:eastAsia="Times New Roman" w:hAnsi="Times New Roman" w:cs="Times New Roman"/>
          <w:sz w:val="24"/>
          <w:szCs w:val="24"/>
        </w:rPr>
      </w:pPr>
      <w:r w:rsidRPr="008C7519">
        <w:rPr>
          <w:rFonts w:ascii="Times New Roman" w:eastAsia="Times New Roman" w:hAnsi="Times New Roman" w:cs="Times New Roman"/>
          <w:sz w:val="24"/>
          <w:szCs w:val="24"/>
          <w:highlight w:val="yellow"/>
        </w:rPr>
        <w:t xml:space="preserve">Since Mary's dismissal was not fair and procedural, she is still entitled to various remedies under the Unfair Dismissals Acts. One of the possible remedies to Mary is </w:t>
      </w:r>
      <w:r w:rsidRPr="008C7519">
        <w:rPr>
          <w:rFonts w:ascii="Times New Roman" w:eastAsia="Times New Roman" w:hAnsi="Times New Roman" w:cs="Times New Roman"/>
          <w:sz w:val="24"/>
          <w:szCs w:val="24"/>
          <w:highlight w:val="yellow"/>
        </w:rPr>
        <w:lastRenderedPageBreak/>
        <w:t xml:space="preserve">reinstatement. Notably, Mary has 5 weeks before the expiry of her employment contract, and since she left her position on her accord, she can still be reinstated to her position. However, this remedy is only awarded when it is clearly established that the employee can rarely be blamed for dismissal. For the case of Mary, circumstances forced her to claim constructive dismissal, and therefore she is entitled to reinstatement. In case Mary is reinstated, she would not only be entitled to her original job position, but also any lost earnings. Mary should also be reinstated pending any investigation since her current situation was attributed to only allegations. In case the investigation reaffirms the claims by the company, she can then face dismissal. In addition, since Mary's employment contract is only 5 weeks away, she is entitled to compensation. She can be compensated for any financial loss for the remaining time. </w:t>
      </w:r>
      <w:r w:rsidRPr="001D4D3B">
        <w:rPr>
          <w:rFonts w:ascii="Times New Roman" w:eastAsia="Times New Roman" w:hAnsi="Times New Roman" w:cs="Times New Roman"/>
          <w:sz w:val="24"/>
          <w:szCs w:val="24"/>
        </w:rPr>
        <w:t>The majority of the Employment Appeal Tribunals allow for the use of compensation as the most applicable remedy</w:t>
      </w:r>
      <w:r w:rsidR="001D4D3B" w:rsidRPr="001D4D3B">
        <w:rPr>
          <w:rFonts w:ascii="Times New Roman" w:eastAsia="Times New Roman" w:hAnsi="Times New Roman" w:cs="Times New Roman"/>
          <w:sz w:val="24"/>
          <w:szCs w:val="24"/>
        </w:rPr>
        <w:t>(</w:t>
      </w:r>
      <w:r w:rsidR="001D4D3B" w:rsidRPr="001D4D3B">
        <w:rPr>
          <w:rFonts w:ascii="Times New Roman" w:hAnsi="Times New Roman" w:cs="Times New Roman"/>
          <w:sz w:val="24"/>
          <w:szCs w:val="24"/>
        </w:rPr>
        <w:t>Masiyenyama, 2019</w:t>
      </w:r>
      <w:r w:rsidR="001D4D3B" w:rsidRPr="001D4D3B">
        <w:rPr>
          <w:rFonts w:ascii="Times New Roman" w:hAnsi="Times New Roman" w:cs="Times New Roman"/>
          <w:b/>
          <w:sz w:val="24"/>
          <w:szCs w:val="24"/>
        </w:rPr>
        <w:t>)</w:t>
      </w:r>
      <w:r w:rsidRPr="001D4D3B">
        <w:rPr>
          <w:rFonts w:ascii="Times New Roman" w:eastAsia="Times New Roman" w:hAnsi="Times New Roman" w:cs="Times New Roman"/>
          <w:sz w:val="24"/>
          <w:szCs w:val="24"/>
        </w:rPr>
        <w:t xml:space="preserve">. </w:t>
      </w:r>
      <w:r w:rsidRPr="008C7519">
        <w:rPr>
          <w:rFonts w:ascii="Times New Roman" w:eastAsia="Times New Roman" w:hAnsi="Times New Roman" w:cs="Times New Roman"/>
          <w:sz w:val="24"/>
          <w:szCs w:val="24"/>
          <w:highlight w:val="yellow"/>
        </w:rPr>
        <w:t>In case it is alluded that Mary did not suffer any financial loss as a result of her constructive dismissal, she can be compensated a remuneration or no more than 4 weeks.</w:t>
      </w:r>
    </w:p>
    <w:p w:rsidR="004A68A7" w:rsidRPr="00933B0E" w:rsidRDefault="004A68A7" w:rsidP="00933B0E">
      <w:pPr>
        <w:spacing w:line="480" w:lineRule="auto"/>
        <w:rPr>
          <w:rFonts w:ascii="Times New Roman" w:eastAsia="Times New Roman" w:hAnsi="Times New Roman" w:cs="Times New Roman"/>
          <w:b/>
          <w:sz w:val="24"/>
          <w:szCs w:val="24"/>
        </w:rPr>
      </w:pPr>
      <w:r w:rsidRPr="00933B0E">
        <w:rPr>
          <w:rFonts w:ascii="Times New Roman" w:eastAsia="Times New Roman" w:hAnsi="Times New Roman" w:cs="Times New Roman"/>
          <w:b/>
          <w:sz w:val="24"/>
          <w:szCs w:val="24"/>
        </w:rPr>
        <w:t>Part 2</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The Unfair Dismissals Acts 1977-2015 states that employee dismissal can be fair if it occurs from the qualifications, capability as well as the competence of the employee, employee's conduct, redundancy situation, and the inability of an employee to continue working in their current position due to restrictions executed by the law</w:t>
      </w:r>
      <w:r w:rsidR="001D4D3B">
        <w:rPr>
          <w:rFonts w:ascii="Times New Roman" w:eastAsia="Times New Roman" w:hAnsi="Times New Roman" w:cs="Times New Roman"/>
          <w:sz w:val="24"/>
          <w:szCs w:val="24"/>
          <w:highlight w:val="yellow"/>
        </w:rPr>
        <w:t>.</w:t>
      </w:r>
    </w:p>
    <w:p w:rsidR="004A68A7" w:rsidRPr="008C7519" w:rsidRDefault="004A68A7" w:rsidP="00933B0E">
      <w:pPr>
        <w:spacing w:line="480" w:lineRule="auto"/>
        <w:rPr>
          <w:rFonts w:ascii="Times New Roman" w:eastAsia="Times New Roman" w:hAnsi="Times New Roman" w:cs="Times New Roman"/>
          <w:b/>
          <w:sz w:val="24"/>
          <w:szCs w:val="24"/>
          <w:highlight w:val="yellow"/>
        </w:rPr>
      </w:pPr>
      <w:r w:rsidRPr="008C7519">
        <w:rPr>
          <w:rFonts w:ascii="Times New Roman" w:eastAsia="Times New Roman" w:hAnsi="Times New Roman" w:cs="Times New Roman"/>
          <w:b/>
          <w:sz w:val="24"/>
          <w:szCs w:val="24"/>
          <w:highlight w:val="yellow"/>
        </w:rPr>
        <w:t xml:space="preserve">Qualifications and Capability </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 xml:space="preserve">Employers should not be quick to dismiss their employees on the grounds of incompetence or incapability without first informing them of the areas in which they are showing </w:t>
      </w:r>
      <w:r w:rsidRPr="008C7519">
        <w:rPr>
          <w:rFonts w:ascii="Times New Roman" w:eastAsia="Times New Roman" w:hAnsi="Times New Roman" w:cs="Times New Roman"/>
          <w:sz w:val="24"/>
          <w:szCs w:val="24"/>
          <w:highlight w:val="yellow"/>
        </w:rPr>
        <w:lastRenderedPageBreak/>
        <w:t xml:space="preserve">incompetence or incapability. Rather, employees are supposed to issue warnings to such employees and give them opportunities to improve on such areas. </w:t>
      </w:r>
      <w:r w:rsidRPr="001D4D3B">
        <w:rPr>
          <w:rFonts w:ascii="Times New Roman" w:eastAsia="Times New Roman" w:hAnsi="Times New Roman" w:cs="Times New Roman"/>
          <w:sz w:val="24"/>
          <w:szCs w:val="24"/>
        </w:rPr>
        <w:t>When employers are addressing capability, they usually refer employee absenteeism their work activities</w:t>
      </w:r>
      <w:r w:rsidR="001D4D3B" w:rsidRPr="001D4D3B">
        <w:rPr>
          <w:rFonts w:ascii="Times New Roman" w:eastAsia="Times New Roman" w:hAnsi="Times New Roman" w:cs="Times New Roman"/>
          <w:sz w:val="24"/>
          <w:szCs w:val="24"/>
        </w:rPr>
        <w:t>(</w:t>
      </w:r>
      <w:r w:rsidR="001D4D3B" w:rsidRPr="001D4D3B">
        <w:rPr>
          <w:rFonts w:ascii="Times New Roman" w:hAnsi="Times New Roman" w:cs="Times New Roman"/>
          <w:sz w:val="24"/>
          <w:szCs w:val="24"/>
        </w:rPr>
        <w:t>Law Reform Commission, 2016)</w:t>
      </w:r>
      <w:r w:rsidRPr="001D4D3B">
        <w:rPr>
          <w:rFonts w:ascii="Times New Roman" w:eastAsia="Times New Roman" w:hAnsi="Times New Roman" w:cs="Times New Roman"/>
          <w:sz w:val="24"/>
          <w:szCs w:val="24"/>
        </w:rPr>
        <w:t xml:space="preserve">. </w:t>
      </w:r>
      <w:r w:rsidRPr="008C7519">
        <w:rPr>
          <w:rFonts w:ascii="Times New Roman" w:eastAsia="Times New Roman" w:hAnsi="Times New Roman" w:cs="Times New Roman"/>
          <w:sz w:val="24"/>
          <w:szCs w:val="24"/>
          <w:highlight w:val="yellow"/>
        </w:rPr>
        <w:t>Employee absence can be either short-term or long-term. For employers to justify employee dismissal under short-term absence, they are required to prove that a certain employee has a sequence of work absenteeism, the employee received various warnings on the same, and they showed no signs of improvement. Regarding long-term absence, employers must show satisfaction that a certain employee does not stand any chance of resuming their work activities before dismissing them. In this case, the employer is obliged to seek alternative employment opportunities for such employees. However, employers are not obliged to offer any alternative work unless an appropriate alternative work opportunity is available.</w:t>
      </w:r>
    </w:p>
    <w:p w:rsidR="004A68A7" w:rsidRPr="001D4D3B" w:rsidRDefault="004A68A7" w:rsidP="00933B0E">
      <w:pPr>
        <w:spacing w:line="480" w:lineRule="auto"/>
        <w:ind w:firstLine="720"/>
        <w:rPr>
          <w:rFonts w:ascii="Times New Roman" w:eastAsia="Times New Roman" w:hAnsi="Times New Roman" w:cs="Times New Roman"/>
          <w:sz w:val="24"/>
          <w:szCs w:val="24"/>
        </w:rPr>
      </w:pPr>
      <w:r w:rsidRPr="001D4D3B">
        <w:rPr>
          <w:rFonts w:ascii="Times New Roman" w:eastAsia="Times New Roman" w:hAnsi="Times New Roman" w:cs="Times New Roman"/>
          <w:sz w:val="24"/>
          <w:szCs w:val="24"/>
        </w:rPr>
        <w:t xml:space="preserve">An example of a case law that supports this information is the one involving </w:t>
      </w:r>
      <w:r w:rsidRPr="001D4D3B">
        <w:rPr>
          <w:rFonts w:ascii="Times New Roman" w:eastAsia="Times New Roman" w:hAnsi="Times New Roman" w:cs="Times New Roman"/>
          <w:i/>
          <w:sz w:val="24"/>
          <w:szCs w:val="24"/>
        </w:rPr>
        <w:t>Reardon v St Vincent's Hospital UD 74/79</w:t>
      </w:r>
      <w:r w:rsidR="0057137E" w:rsidRPr="001D4D3B">
        <w:rPr>
          <w:rFonts w:ascii="Times New Roman" w:eastAsia="Times New Roman" w:hAnsi="Times New Roman" w:cs="Times New Roman"/>
          <w:sz w:val="24"/>
          <w:szCs w:val="24"/>
        </w:rPr>
        <w:t xml:space="preserve"> (</w:t>
      </w:r>
      <w:r w:rsidR="0057137E" w:rsidRPr="001D4D3B">
        <w:rPr>
          <w:rFonts w:ascii="Times New Roman" w:hAnsi="Times New Roman" w:cs="Times New Roman"/>
          <w:sz w:val="24"/>
          <w:szCs w:val="24"/>
        </w:rPr>
        <w:t>Fagan, 2008</w:t>
      </w:r>
      <w:r w:rsidR="0057137E" w:rsidRPr="001D4D3B">
        <w:rPr>
          <w:rFonts w:ascii="Times New Roman" w:hAnsi="Times New Roman" w:cs="Times New Roman"/>
          <w:b/>
          <w:sz w:val="24"/>
          <w:szCs w:val="24"/>
        </w:rPr>
        <w:t>)</w:t>
      </w:r>
      <w:r w:rsidRPr="001D4D3B">
        <w:rPr>
          <w:rFonts w:ascii="Times New Roman" w:eastAsia="Times New Roman" w:hAnsi="Times New Roman" w:cs="Times New Roman"/>
          <w:sz w:val="24"/>
          <w:szCs w:val="24"/>
        </w:rPr>
        <w:t>. In this case law, Reardon, a St. Vincent's kitchen porter had prolonged absenteeism from work as a result of illness, and this was evidenced by medical certificates. The employer, St. Vincent Hospital, wrote to him severally informing him that his record of sick leaves had become a major concern and caused wide inconveniences in the organization, and therefore, failure to improve would prompt the employer to review Reardon's employment. In the following weeks, the record of sick leaves for Reardon did not improve, and unfortunately, this employee was dismissed from the organization. The involved Employment Appeal Tribunal that heard this case held that St. Vincent Hospital's actions were reasonable, especially following the recommendation by Reardon's physician that he only perform light activities. St. Vincent Hospital made consideration to move Reardon to a different job opportunity, but within this organization, there was no appropriate alternative.</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lastRenderedPageBreak/>
        <w:t xml:space="preserve">For a dismissal to be fair, the decision to end the contract of employees cannot be made by a physician. Rather it is made by an organization's management in reference to the medical advice given by a physician. </w:t>
      </w:r>
    </w:p>
    <w:p w:rsidR="004A68A7" w:rsidRPr="008C7519" w:rsidRDefault="004A68A7" w:rsidP="00933B0E">
      <w:pPr>
        <w:spacing w:line="480" w:lineRule="auto"/>
        <w:rPr>
          <w:rFonts w:ascii="Times New Roman" w:eastAsia="Times New Roman" w:hAnsi="Times New Roman" w:cs="Times New Roman"/>
          <w:b/>
          <w:sz w:val="24"/>
          <w:szCs w:val="24"/>
          <w:highlight w:val="yellow"/>
        </w:rPr>
      </w:pPr>
      <w:r w:rsidRPr="008C7519">
        <w:rPr>
          <w:rFonts w:ascii="Times New Roman" w:eastAsia="Times New Roman" w:hAnsi="Times New Roman" w:cs="Times New Roman"/>
          <w:b/>
          <w:sz w:val="24"/>
          <w:szCs w:val="24"/>
          <w:highlight w:val="yellow"/>
        </w:rPr>
        <w:t>Competence</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1D4D3B">
        <w:rPr>
          <w:rFonts w:ascii="Times New Roman" w:eastAsia="Times New Roman" w:hAnsi="Times New Roman" w:cs="Times New Roman"/>
          <w:sz w:val="24"/>
          <w:szCs w:val="24"/>
        </w:rPr>
        <w:t xml:space="preserve">Where employers set targets for their employees, they must ensure that such targets are reasonable. For example, in the case-law of </w:t>
      </w:r>
      <w:r w:rsidRPr="001D4D3B">
        <w:rPr>
          <w:rFonts w:ascii="Times New Roman" w:eastAsia="Times New Roman" w:hAnsi="Times New Roman" w:cs="Times New Roman"/>
          <w:i/>
          <w:sz w:val="24"/>
          <w:szCs w:val="24"/>
        </w:rPr>
        <w:t>Hanlon's -v- Smith Dolphins Barn Ltd</w:t>
      </w:r>
      <w:r w:rsidRPr="001D4D3B">
        <w:rPr>
          <w:rFonts w:ascii="Times New Roman" w:eastAsia="Times New Roman" w:hAnsi="Times New Roman" w:cs="Times New Roman"/>
          <w:sz w:val="24"/>
          <w:szCs w:val="24"/>
        </w:rPr>
        <w:t>, Hanlon, a sales representative to Smith Dolphins Barn Ltd was required by his employer to hit a sales target of $600</w:t>
      </w:r>
      <w:r w:rsidR="00F3417C" w:rsidRPr="001D4D3B">
        <w:rPr>
          <w:rFonts w:ascii="Times New Roman" w:eastAsia="Times New Roman" w:hAnsi="Times New Roman" w:cs="Times New Roman"/>
          <w:sz w:val="24"/>
          <w:szCs w:val="24"/>
        </w:rPr>
        <w:t xml:space="preserve"> (Law Society of Ireland et al., 2003)</w:t>
      </w:r>
      <w:r w:rsidRPr="001D4D3B">
        <w:rPr>
          <w:rFonts w:ascii="Times New Roman" w:eastAsia="Times New Roman" w:hAnsi="Times New Roman" w:cs="Times New Roman"/>
          <w:sz w:val="24"/>
          <w:szCs w:val="24"/>
        </w:rPr>
        <w:t>. Unfortunately, the sales representative did not achieve the set target, and the employer raised the target to $1,000. For the second time, Hanlon did not hit the set target and his employer-issued him with a warning letter accompanied by a sales target of $1,500</w:t>
      </w:r>
      <w:r w:rsidR="00F3417C" w:rsidRPr="001D4D3B">
        <w:rPr>
          <w:rFonts w:ascii="Times New Roman" w:eastAsia="Times New Roman" w:hAnsi="Times New Roman" w:cs="Times New Roman"/>
          <w:sz w:val="24"/>
          <w:szCs w:val="24"/>
        </w:rPr>
        <w:t xml:space="preserve"> (Law Society of Ireland et al., 2003)</w:t>
      </w:r>
      <w:r w:rsidRPr="001D4D3B">
        <w:rPr>
          <w:rFonts w:ascii="Times New Roman" w:eastAsia="Times New Roman" w:hAnsi="Times New Roman" w:cs="Times New Roman"/>
          <w:sz w:val="24"/>
          <w:szCs w:val="24"/>
        </w:rPr>
        <w:t xml:space="preserve">. Hanlon was later dismissed for failure to hit set targets. In this case scenario, Smith Dolphins Barn Ltd was not justified to dismiss his employee. In cases where targets are </w:t>
      </w:r>
      <w:r w:rsidR="0057137E" w:rsidRPr="001D4D3B">
        <w:rPr>
          <w:rFonts w:ascii="Times New Roman" w:eastAsia="Times New Roman" w:hAnsi="Times New Roman" w:cs="Times New Roman"/>
          <w:sz w:val="24"/>
          <w:szCs w:val="24"/>
        </w:rPr>
        <w:t>unreasonable</w:t>
      </w:r>
      <w:r w:rsidRPr="001D4D3B">
        <w:rPr>
          <w:rFonts w:ascii="Times New Roman" w:eastAsia="Times New Roman" w:hAnsi="Times New Roman" w:cs="Times New Roman"/>
          <w:sz w:val="24"/>
          <w:szCs w:val="24"/>
        </w:rPr>
        <w:t xml:space="preserve"> or target increase is unreasonable, the dismissal as a result of not achieving these targets is deemed unfair</w:t>
      </w:r>
      <w:r w:rsidRPr="008C7519">
        <w:rPr>
          <w:rFonts w:ascii="Times New Roman" w:eastAsia="Times New Roman" w:hAnsi="Times New Roman" w:cs="Times New Roman"/>
          <w:sz w:val="24"/>
          <w:szCs w:val="24"/>
          <w:highlight w:val="yellow"/>
        </w:rPr>
        <w:t>. Regarding the performance of employees and the ability to execute their duties, employers are legally required to abide by the following procedure before they can take any disciplinary action. Notably, the involved employee must be accorded the opportunity to address the specific deficiency and must therefore be informed; the specific deficiency, the expected standards of performance, that the performance of the employee is anticipated to increase and the consequences of failure to increase performance.</w:t>
      </w:r>
    </w:p>
    <w:p w:rsidR="004A68A7" w:rsidRPr="008C7519" w:rsidRDefault="004A68A7" w:rsidP="00933B0E">
      <w:pPr>
        <w:spacing w:line="480" w:lineRule="auto"/>
        <w:rPr>
          <w:rFonts w:ascii="Times New Roman" w:eastAsia="Times New Roman" w:hAnsi="Times New Roman" w:cs="Times New Roman"/>
          <w:b/>
          <w:sz w:val="24"/>
          <w:szCs w:val="24"/>
          <w:highlight w:val="yellow"/>
        </w:rPr>
      </w:pPr>
      <w:r w:rsidRPr="008C7519">
        <w:rPr>
          <w:rFonts w:ascii="Times New Roman" w:eastAsia="Times New Roman" w:hAnsi="Times New Roman" w:cs="Times New Roman"/>
          <w:b/>
          <w:sz w:val="24"/>
          <w:szCs w:val="24"/>
          <w:highlight w:val="yellow"/>
        </w:rPr>
        <w:t>Employee's Conduct</w:t>
      </w:r>
    </w:p>
    <w:p w:rsidR="004A68A7" w:rsidRPr="008C7519" w:rsidRDefault="004A68A7" w:rsidP="00933B0E">
      <w:pPr>
        <w:spacing w:line="480" w:lineRule="auto"/>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lastRenderedPageBreak/>
        <w:t xml:space="preserve">Dismissals attributed to the misconduct of employees are deemed to be fair. However, apart from instances involving serious employee misconduct, it would be essential to identify that the respective employee received appropriate warnings. Employee dismissal on the grounds of misconduct may include being convicted of criminal activities, dishonesty as well as alcohol and any other substance abuse. The criminal activities among employees and that may necessitate their dismissal include theft, murder, or violence. Drug and substance abuse are termed as serious misconduct in the majority of employment contracts. In regard to this ground, the Employment Appeal Tribunal holds the notion that matters like a threat to public safety, employee's level of responsibility, and any contact with the general public must be taken into consideration before an employee can be dismissed. An employee's dishonesty may trigger their dismissal, but an employer is legally required to investigate the dishonesty claims and be reasonable in their actions. Otherwise, the dismissal will be termed unfair. </w:t>
      </w:r>
    </w:p>
    <w:p w:rsidR="004A68A7" w:rsidRPr="008C7519" w:rsidRDefault="004A68A7" w:rsidP="00933B0E">
      <w:pPr>
        <w:spacing w:line="480" w:lineRule="auto"/>
        <w:rPr>
          <w:rFonts w:ascii="Times New Roman" w:eastAsia="Times New Roman" w:hAnsi="Times New Roman" w:cs="Times New Roman"/>
          <w:b/>
          <w:sz w:val="24"/>
          <w:szCs w:val="24"/>
          <w:highlight w:val="yellow"/>
        </w:rPr>
      </w:pPr>
      <w:r w:rsidRPr="008C7519">
        <w:rPr>
          <w:rFonts w:ascii="Times New Roman" w:eastAsia="Times New Roman" w:hAnsi="Times New Roman" w:cs="Times New Roman"/>
          <w:b/>
          <w:sz w:val="24"/>
          <w:szCs w:val="24"/>
          <w:highlight w:val="yellow"/>
        </w:rPr>
        <w:t>Fair Procedures</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1D4D3B">
        <w:rPr>
          <w:rFonts w:ascii="Times New Roman" w:eastAsia="Times New Roman" w:hAnsi="Times New Roman" w:cs="Times New Roman"/>
          <w:sz w:val="24"/>
          <w:szCs w:val="24"/>
        </w:rPr>
        <w:t>The Employment Appeal Tribunal holds the notion that if the dismissal of employees is conducted in a manner that seems not to be procedural, then such dismissal becomes unfair</w:t>
      </w:r>
      <w:r w:rsidR="001D4D3B" w:rsidRPr="001D4D3B">
        <w:rPr>
          <w:rFonts w:ascii="Times New Roman" w:eastAsia="Times New Roman" w:hAnsi="Times New Roman" w:cs="Times New Roman"/>
          <w:sz w:val="24"/>
          <w:szCs w:val="24"/>
        </w:rPr>
        <w:t>(Perritt, 2006)</w:t>
      </w:r>
      <w:r w:rsidRPr="008C7519">
        <w:rPr>
          <w:rFonts w:ascii="Times New Roman" w:eastAsia="Times New Roman" w:hAnsi="Times New Roman" w:cs="Times New Roman"/>
          <w:sz w:val="24"/>
          <w:szCs w:val="24"/>
          <w:highlight w:val="yellow"/>
        </w:rPr>
        <w:t xml:space="preserve">. Therefore, when employee dismissal is conducted on fairgrounds, fair procedures need to be followed. More importantly, the procedures followed by employees must be transparent as well as open, and the employers must behave and act reasonably. Whenever an Employment Appeal Tribunal has accurate and reliable evidence that an employer defaulted in the procedural dismissal of an employee, the tribunal rewards compensation to the involved employee, but this compensation is reduced by a significant percentage based on the contribution of the employee to their dismissal. </w:t>
      </w:r>
    </w:p>
    <w:p w:rsidR="004A68A7" w:rsidRPr="008C7519" w:rsidRDefault="004A68A7" w:rsidP="00933B0E">
      <w:pPr>
        <w:spacing w:line="480" w:lineRule="auto"/>
        <w:rPr>
          <w:rFonts w:ascii="Times New Roman" w:eastAsia="Times New Roman" w:hAnsi="Times New Roman" w:cs="Times New Roman"/>
          <w:b/>
          <w:sz w:val="24"/>
          <w:szCs w:val="24"/>
          <w:highlight w:val="yellow"/>
        </w:rPr>
      </w:pPr>
      <w:r w:rsidRPr="008C7519">
        <w:rPr>
          <w:rFonts w:ascii="Times New Roman" w:eastAsia="Times New Roman" w:hAnsi="Times New Roman" w:cs="Times New Roman"/>
          <w:b/>
          <w:sz w:val="24"/>
          <w:szCs w:val="24"/>
          <w:highlight w:val="yellow"/>
        </w:rPr>
        <w:lastRenderedPageBreak/>
        <w:t>Redundancy</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 xml:space="preserve">Employee dismissal as a result of redundancy is deemed to be fair. Redundancy is whereby the job of an employee is no longer available due to, say, changes in technology or as a result of variations in work practices. However, redundancy must be authentic, and the employees affected must be selected fairly. The onus lies on the employer to prove that the redundancy is legit. </w:t>
      </w:r>
    </w:p>
    <w:p w:rsidR="004A68A7" w:rsidRPr="008C7519" w:rsidRDefault="004A68A7" w:rsidP="00933B0E">
      <w:pPr>
        <w:spacing w:line="480" w:lineRule="auto"/>
        <w:rPr>
          <w:rFonts w:ascii="Times New Roman" w:eastAsia="Times New Roman" w:hAnsi="Times New Roman" w:cs="Times New Roman"/>
          <w:b/>
          <w:sz w:val="24"/>
          <w:szCs w:val="24"/>
          <w:highlight w:val="yellow"/>
        </w:rPr>
      </w:pPr>
      <w:r w:rsidRPr="008C7519">
        <w:rPr>
          <w:rFonts w:ascii="Times New Roman" w:eastAsia="Times New Roman" w:hAnsi="Times New Roman" w:cs="Times New Roman"/>
          <w:b/>
          <w:sz w:val="24"/>
          <w:szCs w:val="24"/>
          <w:highlight w:val="yellow"/>
        </w:rPr>
        <w:t xml:space="preserve">The Necessity to Act Fairly </w:t>
      </w:r>
    </w:p>
    <w:p w:rsidR="004A68A7" w:rsidRPr="00933B0E" w:rsidRDefault="004A68A7" w:rsidP="00933B0E">
      <w:pPr>
        <w:spacing w:line="480" w:lineRule="auto"/>
        <w:ind w:firstLine="720"/>
        <w:rPr>
          <w:rFonts w:ascii="Times New Roman" w:eastAsia="Times New Roman" w:hAnsi="Times New Roman" w:cs="Times New Roman"/>
          <w:sz w:val="24"/>
          <w:szCs w:val="24"/>
        </w:rPr>
      </w:pPr>
      <w:r w:rsidRPr="008C7519">
        <w:rPr>
          <w:rFonts w:ascii="Times New Roman" w:eastAsia="Times New Roman" w:hAnsi="Times New Roman" w:cs="Times New Roman"/>
          <w:sz w:val="24"/>
          <w:szCs w:val="24"/>
          <w:highlight w:val="yellow"/>
        </w:rPr>
        <w:t>Employers are required to act fairly like giving employees suitable warnings, taking enough time to establish a justification for dismissal, investigate all allegations thoroughly and respect the employee's right to representation in the case of an investigation.</w:t>
      </w:r>
    </w:p>
    <w:p w:rsidR="004A68A7" w:rsidRPr="00933B0E" w:rsidRDefault="004A68A7" w:rsidP="00933B0E">
      <w:pPr>
        <w:spacing w:line="480" w:lineRule="auto"/>
        <w:jc w:val="center"/>
        <w:rPr>
          <w:rFonts w:ascii="Times New Roman" w:eastAsia="Times New Roman" w:hAnsi="Times New Roman" w:cs="Times New Roman"/>
          <w:b/>
          <w:sz w:val="24"/>
          <w:szCs w:val="24"/>
        </w:rPr>
      </w:pPr>
      <w:r w:rsidRPr="00933B0E">
        <w:rPr>
          <w:rFonts w:ascii="Times New Roman" w:eastAsia="Times New Roman" w:hAnsi="Times New Roman" w:cs="Times New Roman"/>
          <w:b/>
          <w:sz w:val="24"/>
          <w:szCs w:val="24"/>
        </w:rPr>
        <w:t>Question 3</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 xml:space="preserve">In the case-law of </w:t>
      </w:r>
      <w:r w:rsidRPr="008C7519">
        <w:rPr>
          <w:rFonts w:ascii="Times New Roman" w:eastAsia="Times New Roman" w:hAnsi="Times New Roman" w:cs="Times New Roman"/>
          <w:i/>
          <w:sz w:val="24"/>
          <w:szCs w:val="24"/>
          <w:highlight w:val="yellow"/>
        </w:rPr>
        <w:t>McGrath v Trintech Technologies Ltd High Court 29th October 2004</w:t>
      </w:r>
      <w:r w:rsidRPr="008C7519">
        <w:rPr>
          <w:rFonts w:ascii="Times New Roman" w:eastAsia="Times New Roman" w:hAnsi="Times New Roman" w:cs="Times New Roman"/>
          <w:sz w:val="24"/>
          <w:szCs w:val="24"/>
          <w:highlight w:val="yellow"/>
        </w:rPr>
        <w:t xml:space="preserve">, the claim for damages by the plaintiff was based on the allegations that the defendant allegedly breached his duty of care under the common law and alleged violation of statutory duty. The specific injuries that the plaintiff </w:t>
      </w:r>
      <w:r w:rsidR="00CF7A23" w:rsidRPr="008C7519">
        <w:rPr>
          <w:rFonts w:ascii="Times New Roman" w:eastAsia="Times New Roman" w:hAnsi="Times New Roman" w:cs="Times New Roman"/>
          <w:sz w:val="24"/>
          <w:szCs w:val="24"/>
          <w:highlight w:val="yellow"/>
        </w:rPr>
        <w:t>appealed</w:t>
      </w:r>
      <w:r w:rsidRPr="008C7519">
        <w:rPr>
          <w:rFonts w:ascii="Times New Roman" w:eastAsia="Times New Roman" w:hAnsi="Times New Roman" w:cs="Times New Roman"/>
          <w:sz w:val="24"/>
          <w:szCs w:val="24"/>
          <w:highlight w:val="yellow"/>
        </w:rPr>
        <w:t xml:space="preserve"> to have suffered were psychological. It was concluded that such injuries were a result of stress</w:t>
      </w:r>
      <w:r w:rsidR="00CF7A23" w:rsidRPr="008C7519">
        <w:rPr>
          <w:rFonts w:ascii="Times New Roman" w:eastAsia="Times New Roman" w:hAnsi="Times New Roman" w:cs="Times New Roman"/>
          <w:sz w:val="24"/>
          <w:szCs w:val="24"/>
          <w:highlight w:val="yellow"/>
        </w:rPr>
        <w:t xml:space="preserve"> occurring from his work activities</w:t>
      </w:r>
      <w:r w:rsidRPr="008C7519">
        <w:rPr>
          <w:rFonts w:ascii="Times New Roman" w:eastAsia="Times New Roman" w:hAnsi="Times New Roman" w:cs="Times New Roman"/>
          <w:sz w:val="24"/>
          <w:szCs w:val="24"/>
          <w:highlight w:val="yellow"/>
        </w:rPr>
        <w:t xml:space="preserve"> due to the plaintiff's temporary transfer to Uruguay and were heightened by the treatment subjected to him by the defendant </w:t>
      </w:r>
      <w:r w:rsidR="00CF7A23" w:rsidRPr="008C7519">
        <w:rPr>
          <w:rFonts w:ascii="Times New Roman" w:eastAsia="Times New Roman" w:hAnsi="Times New Roman" w:cs="Times New Roman"/>
          <w:sz w:val="24"/>
          <w:szCs w:val="24"/>
          <w:highlight w:val="yellow"/>
        </w:rPr>
        <w:t>upon arrival</w:t>
      </w:r>
      <w:r w:rsidRPr="008C7519">
        <w:rPr>
          <w:rFonts w:ascii="Times New Roman" w:eastAsia="Times New Roman" w:hAnsi="Times New Roman" w:cs="Times New Roman"/>
          <w:sz w:val="24"/>
          <w:szCs w:val="24"/>
          <w:highlight w:val="yellow"/>
        </w:rPr>
        <w:t xml:space="preserve"> from Uruguay, rather than accord him a leave of 4 weeks and ending his employment contract. There was sufficient evidence than the plaintiff had spent more time in the line of duty on foreign assignments, like several of them to Korea. Upon his travel to Korea, the plaintiff fell sick and subsequently suffered </w:t>
      </w:r>
      <w:r w:rsidR="0012659C" w:rsidRPr="008C7519">
        <w:rPr>
          <w:rFonts w:ascii="Times New Roman" w:eastAsia="Times New Roman" w:hAnsi="Times New Roman" w:cs="Times New Roman"/>
          <w:sz w:val="24"/>
          <w:szCs w:val="24"/>
          <w:highlight w:val="yellow"/>
        </w:rPr>
        <w:t>diarrhea</w:t>
      </w:r>
      <w:r w:rsidRPr="008C7519">
        <w:rPr>
          <w:rFonts w:ascii="Times New Roman" w:eastAsia="Times New Roman" w:hAnsi="Times New Roman" w:cs="Times New Roman"/>
          <w:sz w:val="24"/>
          <w:szCs w:val="24"/>
          <w:highlight w:val="yellow"/>
        </w:rPr>
        <w:t xml:space="preserve"> as well as fatigue accompanied by blood in the urine. This problem became persistent, prompting the plaintiff to make consultations with a </w:t>
      </w:r>
      <w:r w:rsidRPr="008C7519">
        <w:rPr>
          <w:rFonts w:ascii="Times New Roman" w:eastAsia="Times New Roman" w:hAnsi="Times New Roman" w:cs="Times New Roman"/>
          <w:sz w:val="24"/>
          <w:szCs w:val="24"/>
          <w:highlight w:val="yellow"/>
        </w:rPr>
        <w:lastRenderedPageBreak/>
        <w:t xml:space="preserve">tropical medicine consultant. It was revealed that the plaintiff had developed incurable cryptosporidiosis that could only be managed. </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 xml:space="preserve">Later, as the plaintiff expedited his duties in South Africa, he developed suspected appendicitis and was hospitalized. According to the presented evidence, the defendant's personnel on-site accorded the plaintiff considerable support. The plaintiff was able to recover but reported symptoms like </w:t>
      </w:r>
      <w:r w:rsidR="0012659C" w:rsidRPr="008C7519">
        <w:rPr>
          <w:rFonts w:ascii="Times New Roman" w:eastAsia="Times New Roman" w:hAnsi="Times New Roman" w:cs="Times New Roman"/>
          <w:sz w:val="24"/>
          <w:szCs w:val="24"/>
          <w:highlight w:val="yellow"/>
        </w:rPr>
        <w:t>diarrhea</w:t>
      </w:r>
      <w:r w:rsidRPr="008C7519">
        <w:rPr>
          <w:rFonts w:ascii="Times New Roman" w:eastAsia="Times New Roman" w:hAnsi="Times New Roman" w:cs="Times New Roman"/>
          <w:sz w:val="24"/>
          <w:szCs w:val="24"/>
          <w:highlight w:val="yellow"/>
        </w:rPr>
        <w:t xml:space="preserve"> and fatigue with blood in his urine, thereafter. The plaintiff was given a sick leave of one month. Further, it was reported that </w:t>
      </w:r>
      <w:r w:rsidR="00A07C5D" w:rsidRPr="008C7519">
        <w:rPr>
          <w:rFonts w:ascii="Times New Roman" w:eastAsia="Times New Roman" w:hAnsi="Times New Roman" w:cs="Times New Roman"/>
          <w:sz w:val="24"/>
          <w:szCs w:val="24"/>
          <w:highlight w:val="yellow"/>
        </w:rPr>
        <w:t>the plaintiff had developed moderate</w:t>
      </w:r>
      <w:r w:rsidRPr="008C7519">
        <w:rPr>
          <w:rFonts w:ascii="Times New Roman" w:eastAsia="Times New Roman" w:hAnsi="Times New Roman" w:cs="Times New Roman"/>
          <w:sz w:val="24"/>
          <w:szCs w:val="24"/>
          <w:highlight w:val="yellow"/>
        </w:rPr>
        <w:t xml:space="preserve"> depression</w:t>
      </w:r>
      <w:r w:rsidR="00CF7A23" w:rsidRPr="008C7519">
        <w:rPr>
          <w:rFonts w:ascii="Times New Roman" w:eastAsia="Times New Roman" w:hAnsi="Times New Roman" w:cs="Times New Roman"/>
          <w:sz w:val="24"/>
          <w:szCs w:val="24"/>
          <w:highlight w:val="yellow"/>
        </w:rPr>
        <w:t xml:space="preserve">, prompting referral </w:t>
      </w:r>
      <w:r w:rsidRPr="008C7519">
        <w:rPr>
          <w:rFonts w:ascii="Times New Roman" w:eastAsia="Times New Roman" w:hAnsi="Times New Roman" w:cs="Times New Roman"/>
          <w:sz w:val="24"/>
          <w:szCs w:val="24"/>
          <w:highlight w:val="yellow"/>
        </w:rPr>
        <w:t xml:space="preserve">to a psychiatrist. Unfortunately, the plaintiff resumed his duties in Uruguay before meeting the psychiatrist. The previous medication history of the patient revealed that he was prone to depression, especially in her stay in the United States and thus had received antidepressants. In addition, the previous medical history of the plaintiff revealed that he had challenges with a sore throat and has a tonsillectomy, whereby his general practitioner referred him to </w:t>
      </w:r>
      <w:r w:rsidR="0012659C" w:rsidRPr="008C7519">
        <w:rPr>
          <w:rFonts w:ascii="Times New Roman" w:eastAsia="Times New Roman" w:hAnsi="Times New Roman" w:cs="Times New Roman"/>
          <w:sz w:val="24"/>
          <w:szCs w:val="24"/>
          <w:highlight w:val="yellow"/>
        </w:rPr>
        <w:t>counseling</w:t>
      </w:r>
      <w:r w:rsidRPr="008C7519">
        <w:rPr>
          <w:rFonts w:ascii="Times New Roman" w:eastAsia="Times New Roman" w:hAnsi="Times New Roman" w:cs="Times New Roman"/>
          <w:sz w:val="24"/>
          <w:szCs w:val="24"/>
          <w:highlight w:val="yellow"/>
        </w:rPr>
        <w:t xml:space="preserve"> by a psychologist. The plaintiff had also complained of work stress and diagnosed with Attention Deficit Disorder. It was later revealed that the defendant was fully aware of the past medication history of the plaintiff and therefore the defendant advised him to have a medical clearance to be sure that he did not have any medical issues before attending his duties in Uruguay. The plaintiff then met the medical officer of the defendant who reaffirmed the medical history of the plaintiff but asserted that he was okay to travel but issued a precaution that the plaintiff would suffer from flare-ups that would necessitate treatment along with hospitalization, leading to absence from work. </w:t>
      </w:r>
    </w:p>
    <w:p w:rsidR="004A68A7" w:rsidRPr="00933B0E" w:rsidRDefault="004A68A7" w:rsidP="00933B0E">
      <w:pPr>
        <w:spacing w:line="480" w:lineRule="auto"/>
        <w:ind w:firstLine="720"/>
        <w:rPr>
          <w:rFonts w:ascii="Times New Roman" w:eastAsia="Times New Roman" w:hAnsi="Times New Roman" w:cs="Times New Roman"/>
          <w:sz w:val="24"/>
          <w:szCs w:val="24"/>
        </w:rPr>
      </w:pPr>
      <w:r w:rsidRPr="008C7519">
        <w:rPr>
          <w:rFonts w:ascii="Times New Roman" w:eastAsia="Times New Roman" w:hAnsi="Times New Roman" w:cs="Times New Roman"/>
          <w:sz w:val="24"/>
          <w:szCs w:val="24"/>
          <w:highlight w:val="yellow"/>
        </w:rPr>
        <w:t xml:space="preserve">The plaintiff flew to Uruguay and later reported that in his entire stay in this country, he was under severe stress. Conversely, the plaintiff faced isolation since he did not have a social life and felt uncomfortable attending to his duties. In Uruguay, he was to be in charge of general </w:t>
      </w:r>
      <w:r w:rsidRPr="008C7519">
        <w:rPr>
          <w:rFonts w:ascii="Times New Roman" w:eastAsia="Times New Roman" w:hAnsi="Times New Roman" w:cs="Times New Roman"/>
          <w:sz w:val="24"/>
          <w:szCs w:val="24"/>
          <w:highlight w:val="yellow"/>
        </w:rPr>
        <w:lastRenderedPageBreak/>
        <w:t xml:space="preserve">operations and the management of professional services for a site in Montevideo. While in Uruguay, the plaintiff went through various crises, such as personnel strike, and this increased his isolation. As a result, the plaintiff felt sick and developed stomach problems and occasional headaches that resulted in arm numbness and speaking problems. He approached his medical consultant, where he complained of </w:t>
      </w:r>
      <w:r w:rsidR="00A07C5D" w:rsidRPr="008C7519">
        <w:rPr>
          <w:rFonts w:ascii="Times New Roman" w:eastAsia="Times New Roman" w:hAnsi="Times New Roman" w:cs="Times New Roman"/>
          <w:sz w:val="24"/>
          <w:szCs w:val="24"/>
          <w:highlight w:val="yellow"/>
        </w:rPr>
        <w:t>pain in the abdomen</w:t>
      </w:r>
      <w:r w:rsidRPr="008C7519">
        <w:rPr>
          <w:rFonts w:ascii="Times New Roman" w:eastAsia="Times New Roman" w:hAnsi="Times New Roman" w:cs="Times New Roman"/>
          <w:sz w:val="24"/>
          <w:szCs w:val="24"/>
          <w:highlight w:val="yellow"/>
        </w:rPr>
        <w:t xml:space="preserve">, regular bowel </w:t>
      </w:r>
      <w:r w:rsidR="00A07C5D" w:rsidRPr="008C7519">
        <w:rPr>
          <w:rFonts w:ascii="Times New Roman" w:eastAsia="Times New Roman" w:hAnsi="Times New Roman" w:cs="Times New Roman"/>
          <w:sz w:val="24"/>
          <w:szCs w:val="24"/>
          <w:highlight w:val="yellow"/>
        </w:rPr>
        <w:t>movements</w:t>
      </w:r>
      <w:r w:rsidRPr="008C7519">
        <w:rPr>
          <w:rFonts w:ascii="Times New Roman" w:eastAsia="Times New Roman" w:hAnsi="Times New Roman" w:cs="Times New Roman"/>
          <w:sz w:val="24"/>
          <w:szCs w:val="24"/>
          <w:highlight w:val="yellow"/>
        </w:rPr>
        <w:t xml:space="preserve"> as well as tenderness in </w:t>
      </w:r>
      <w:r w:rsidR="00A07C5D" w:rsidRPr="008C7519">
        <w:rPr>
          <w:rFonts w:ascii="Times New Roman" w:eastAsia="Times New Roman" w:hAnsi="Times New Roman" w:cs="Times New Roman"/>
          <w:sz w:val="24"/>
          <w:szCs w:val="24"/>
          <w:highlight w:val="yellow"/>
        </w:rPr>
        <w:t>his</w:t>
      </w:r>
      <w:r w:rsidRPr="008C7519">
        <w:rPr>
          <w:rFonts w:ascii="Times New Roman" w:eastAsia="Times New Roman" w:hAnsi="Times New Roman" w:cs="Times New Roman"/>
          <w:sz w:val="24"/>
          <w:szCs w:val="24"/>
          <w:highlight w:val="yellow"/>
        </w:rPr>
        <w:t xml:space="preserve"> abdomen. He also added that he had insomnia, lacked motivation, and poor memory that resulted in lack of concentration. </w:t>
      </w:r>
      <w:r w:rsidRPr="001D4D3B">
        <w:rPr>
          <w:rFonts w:ascii="Times New Roman" w:eastAsia="Times New Roman" w:hAnsi="Times New Roman" w:cs="Times New Roman"/>
          <w:sz w:val="24"/>
          <w:szCs w:val="24"/>
        </w:rPr>
        <w:t>Following all these, the defendant furnished the plaintiff with information about job redundancy</w:t>
      </w:r>
      <w:r w:rsidR="006F01D6" w:rsidRPr="001D4D3B">
        <w:rPr>
          <w:rFonts w:ascii="Times New Roman" w:eastAsia="Times New Roman" w:hAnsi="Times New Roman" w:cs="Times New Roman"/>
          <w:sz w:val="24"/>
          <w:szCs w:val="24"/>
        </w:rPr>
        <w:t xml:space="preserve"> (Christopher, 2015)</w:t>
      </w:r>
      <w:r w:rsidRPr="001D4D3B">
        <w:rPr>
          <w:rFonts w:ascii="Times New Roman" w:eastAsia="Times New Roman" w:hAnsi="Times New Roman" w:cs="Times New Roman"/>
          <w:sz w:val="24"/>
          <w:szCs w:val="24"/>
        </w:rPr>
        <w:t xml:space="preserve">. </w:t>
      </w:r>
      <w:r w:rsidRPr="008C7519">
        <w:rPr>
          <w:rFonts w:ascii="Times New Roman" w:eastAsia="Times New Roman" w:hAnsi="Times New Roman" w:cs="Times New Roman"/>
          <w:sz w:val="24"/>
          <w:szCs w:val="24"/>
          <w:highlight w:val="yellow"/>
        </w:rPr>
        <w:t>Regarding the plaintiff's claim for damages, the 16 Hatton propositions were applied.</w:t>
      </w:r>
    </w:p>
    <w:p w:rsidR="004A68A7" w:rsidRPr="00933B0E" w:rsidRDefault="004A68A7" w:rsidP="00933B0E">
      <w:pPr>
        <w:spacing w:line="480" w:lineRule="auto"/>
        <w:ind w:firstLine="720"/>
        <w:rPr>
          <w:rFonts w:ascii="Times New Roman" w:eastAsia="Times New Roman" w:hAnsi="Times New Roman" w:cs="Times New Roman"/>
          <w:sz w:val="24"/>
          <w:szCs w:val="24"/>
        </w:rPr>
      </w:pPr>
      <w:r w:rsidRPr="00933B0E">
        <w:rPr>
          <w:rFonts w:ascii="Times New Roman" w:eastAsia="Times New Roman" w:hAnsi="Times New Roman" w:cs="Times New Roman"/>
          <w:sz w:val="24"/>
          <w:szCs w:val="24"/>
        </w:rPr>
        <w:t xml:space="preserve">However, based on the ruling of this case, there seems to be a new category of nervous shock in cases related to occupational stress. Notably, it was held that the plaintiff's case had not surpassed the foreseeability threshold in that his psychological harm risk was not sensibly foreseeable. The Employment Appeal Tribunal noted that </w:t>
      </w:r>
      <w:r w:rsidR="00A07C5D" w:rsidRPr="00933B0E">
        <w:rPr>
          <w:rFonts w:ascii="Times New Roman" w:eastAsia="Times New Roman" w:hAnsi="Times New Roman" w:cs="Times New Roman"/>
          <w:sz w:val="24"/>
          <w:szCs w:val="24"/>
        </w:rPr>
        <w:t>considering that the defendant</w:t>
      </w:r>
      <w:r w:rsidRPr="00933B0E">
        <w:rPr>
          <w:rFonts w:ascii="Times New Roman" w:eastAsia="Times New Roman" w:hAnsi="Times New Roman" w:cs="Times New Roman"/>
          <w:sz w:val="24"/>
          <w:szCs w:val="24"/>
        </w:rPr>
        <w:t xml:space="preserve"> had </w:t>
      </w:r>
      <w:r w:rsidR="00A07C5D" w:rsidRPr="00933B0E">
        <w:rPr>
          <w:rFonts w:ascii="Times New Roman" w:eastAsia="Times New Roman" w:hAnsi="Times New Roman" w:cs="Times New Roman"/>
          <w:sz w:val="24"/>
          <w:szCs w:val="24"/>
        </w:rPr>
        <w:t>considered</w:t>
      </w:r>
      <w:r w:rsidRPr="00933B0E">
        <w:rPr>
          <w:rFonts w:ascii="Times New Roman" w:eastAsia="Times New Roman" w:hAnsi="Times New Roman" w:cs="Times New Roman"/>
          <w:sz w:val="24"/>
          <w:szCs w:val="24"/>
        </w:rPr>
        <w:t xml:space="preserve"> the </w:t>
      </w:r>
      <w:r w:rsidR="00A07C5D" w:rsidRPr="00933B0E">
        <w:rPr>
          <w:rFonts w:ascii="Times New Roman" w:eastAsia="Times New Roman" w:hAnsi="Times New Roman" w:cs="Times New Roman"/>
          <w:sz w:val="24"/>
          <w:szCs w:val="24"/>
        </w:rPr>
        <w:t>aspect</w:t>
      </w:r>
      <w:r w:rsidRPr="00933B0E">
        <w:rPr>
          <w:rFonts w:ascii="Times New Roman" w:eastAsia="Times New Roman" w:hAnsi="Times New Roman" w:cs="Times New Roman"/>
          <w:sz w:val="24"/>
          <w:szCs w:val="24"/>
        </w:rPr>
        <w:t xml:space="preserve"> of stress and that effective </w:t>
      </w:r>
      <w:r w:rsidR="00A07C5D" w:rsidRPr="00933B0E">
        <w:rPr>
          <w:rFonts w:ascii="Times New Roman" w:eastAsia="Times New Roman" w:hAnsi="Times New Roman" w:cs="Times New Roman"/>
          <w:sz w:val="24"/>
          <w:szCs w:val="24"/>
        </w:rPr>
        <w:t>measures</w:t>
      </w:r>
      <w:r w:rsidRPr="00933B0E">
        <w:rPr>
          <w:rFonts w:ascii="Times New Roman" w:eastAsia="Times New Roman" w:hAnsi="Times New Roman" w:cs="Times New Roman"/>
          <w:sz w:val="24"/>
          <w:szCs w:val="24"/>
        </w:rPr>
        <w:t xml:space="preserve"> were put in place in the workplace to monitor stress, it was still difficult to see threshold</w:t>
      </w:r>
      <w:r w:rsidR="006F01D6" w:rsidRPr="00933B0E">
        <w:rPr>
          <w:rFonts w:ascii="Times New Roman" w:eastAsia="Times New Roman" w:hAnsi="Times New Roman" w:cs="Times New Roman"/>
          <w:sz w:val="24"/>
          <w:szCs w:val="24"/>
        </w:rPr>
        <w:t xml:space="preserve"> (</w:t>
      </w:r>
      <w:r w:rsidR="006F01D6" w:rsidRPr="00933B0E">
        <w:rPr>
          <w:rFonts w:ascii="Times New Roman" w:hAnsi="Times New Roman" w:cs="Times New Roman"/>
          <w:sz w:val="24"/>
          <w:szCs w:val="24"/>
        </w:rPr>
        <w:t>High Court of Ireland Decisions, 2004)</w:t>
      </w:r>
      <w:r w:rsidRPr="00933B0E">
        <w:rPr>
          <w:rFonts w:ascii="Times New Roman" w:eastAsia="Times New Roman" w:hAnsi="Times New Roman" w:cs="Times New Roman"/>
          <w:sz w:val="24"/>
          <w:szCs w:val="24"/>
        </w:rPr>
        <w:t>. The tribunal also stated that it was more concerned on whether the injury</w:t>
      </w:r>
      <w:r w:rsidR="00A07C5D" w:rsidRPr="00933B0E">
        <w:rPr>
          <w:rFonts w:ascii="Times New Roman" w:eastAsia="Times New Roman" w:hAnsi="Times New Roman" w:cs="Times New Roman"/>
          <w:sz w:val="24"/>
          <w:szCs w:val="24"/>
        </w:rPr>
        <w:t xml:space="preserve"> caused by stress</w:t>
      </w:r>
      <w:r w:rsidRPr="00933B0E">
        <w:rPr>
          <w:rFonts w:ascii="Times New Roman" w:eastAsia="Times New Roman" w:hAnsi="Times New Roman" w:cs="Times New Roman"/>
          <w:sz w:val="24"/>
          <w:szCs w:val="24"/>
        </w:rPr>
        <w:t xml:space="preserve"> was a result of the defendant's </w:t>
      </w:r>
      <w:r w:rsidR="00A07C5D" w:rsidRPr="00933B0E">
        <w:rPr>
          <w:rFonts w:ascii="Times New Roman" w:eastAsia="Times New Roman" w:hAnsi="Times New Roman" w:cs="Times New Roman"/>
          <w:sz w:val="24"/>
          <w:szCs w:val="24"/>
        </w:rPr>
        <w:t>violation</w:t>
      </w:r>
      <w:r w:rsidRPr="00933B0E">
        <w:rPr>
          <w:rFonts w:ascii="Times New Roman" w:eastAsia="Times New Roman" w:hAnsi="Times New Roman" w:cs="Times New Roman"/>
          <w:sz w:val="24"/>
          <w:szCs w:val="24"/>
        </w:rPr>
        <w:t xml:space="preserve"> of his statutory duties, rather than whether the stress incurred by the plaintiff was </w:t>
      </w:r>
      <w:r w:rsidR="00A07C5D" w:rsidRPr="00933B0E">
        <w:rPr>
          <w:rFonts w:ascii="Times New Roman" w:eastAsia="Times New Roman" w:hAnsi="Times New Roman" w:cs="Times New Roman"/>
          <w:sz w:val="24"/>
          <w:szCs w:val="24"/>
        </w:rPr>
        <w:t>a result of</w:t>
      </w:r>
      <w:r w:rsidRPr="00933B0E">
        <w:rPr>
          <w:rFonts w:ascii="Times New Roman" w:eastAsia="Times New Roman" w:hAnsi="Times New Roman" w:cs="Times New Roman"/>
          <w:sz w:val="24"/>
          <w:szCs w:val="24"/>
        </w:rPr>
        <w:t xml:space="preserve"> his work activities. Basically, where an employee sustains injuries due to an equipment malfunction of their employer, the cause and effect link is of no doubt because it is assumed that the employee would not have sustained the injuries if the employer had not given them the malfunctioning equipment. Besides, the tribunal deciding this case held that if all the plaintiff's submissions were genuine and correct, then the law was unrealistically burdening employers. </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1D4D3B">
        <w:rPr>
          <w:rFonts w:ascii="Times New Roman" w:eastAsia="Times New Roman" w:hAnsi="Times New Roman" w:cs="Times New Roman"/>
          <w:sz w:val="24"/>
          <w:szCs w:val="24"/>
        </w:rPr>
        <w:lastRenderedPageBreak/>
        <w:t>Section 8 of the Irish Aviation Authority Safety Statement holds that the possible liability of employers for employee's stress injuries may arise on the grounds of; the law of tort whereby it is alleged that a certain employer has failed in meeting the statutory duty and common law to their employees, and through vicarious liability, whereby an employer has to be responsible for their employee's actions executed in their employment course</w:t>
      </w:r>
      <w:r w:rsidR="006F01D6" w:rsidRPr="001D4D3B">
        <w:rPr>
          <w:rFonts w:ascii="Times New Roman" w:eastAsia="Times New Roman" w:hAnsi="Times New Roman" w:cs="Times New Roman"/>
          <w:sz w:val="24"/>
          <w:szCs w:val="24"/>
        </w:rPr>
        <w:t xml:space="preserve"> (</w:t>
      </w:r>
      <w:r w:rsidR="006F01D6" w:rsidRPr="001D4D3B">
        <w:rPr>
          <w:rFonts w:ascii="Times New Roman" w:hAnsi="Times New Roman" w:cs="Times New Roman"/>
          <w:sz w:val="24"/>
          <w:szCs w:val="24"/>
        </w:rPr>
        <w:t>Irish Aviation Authority, 2015</w:t>
      </w:r>
      <w:r w:rsidR="006F01D6" w:rsidRPr="001D4D3B">
        <w:rPr>
          <w:rFonts w:ascii="Times New Roman" w:hAnsi="Times New Roman" w:cs="Times New Roman"/>
          <w:b/>
          <w:sz w:val="24"/>
          <w:szCs w:val="24"/>
        </w:rPr>
        <w:t>)</w:t>
      </w:r>
      <w:r w:rsidRPr="001D4D3B">
        <w:rPr>
          <w:rFonts w:ascii="Times New Roman" w:eastAsia="Times New Roman" w:hAnsi="Times New Roman" w:cs="Times New Roman"/>
          <w:sz w:val="24"/>
          <w:szCs w:val="24"/>
        </w:rPr>
        <w:t xml:space="preserve">. </w:t>
      </w:r>
      <w:r w:rsidRPr="008C7519">
        <w:rPr>
          <w:rFonts w:ascii="Times New Roman" w:eastAsia="Times New Roman" w:hAnsi="Times New Roman" w:cs="Times New Roman"/>
          <w:sz w:val="24"/>
          <w:szCs w:val="24"/>
          <w:highlight w:val="yellow"/>
        </w:rPr>
        <w:t xml:space="preserve">I think Hatton principles are applicable in this case law. One of these principles is that there are no unique control mechanisms that can apply to claims of psychiatric diseases as a result of stress that an employee suffers when executing the duties they are supposed to do. In this case, the ordinary principles of the liability of employers apply. In this case, it implies that the plaintiff's claim for damages was unjustifiable. The other principle is that the threshold question should be whether the type of harm of the specific employee was reasonably foreseeable, and this has 2 components; a health injury different from occupational stress and which can be attributed to work stress and no other factors. In this case, the judge under the Employment Appeal Tribunal hearing the case ruled that the threshold question by the plaintiff was unforeseeable. </w:t>
      </w:r>
    </w:p>
    <w:p w:rsidR="004A68A7" w:rsidRPr="00A65DCA" w:rsidRDefault="004A68A7" w:rsidP="00933B0E">
      <w:pPr>
        <w:spacing w:line="480" w:lineRule="auto"/>
        <w:ind w:firstLine="720"/>
        <w:rPr>
          <w:rFonts w:ascii="Times New Roman" w:eastAsia="Times New Roman" w:hAnsi="Times New Roman" w:cs="Times New Roman"/>
          <w:sz w:val="24"/>
          <w:szCs w:val="24"/>
          <w:highlight w:val="yellow"/>
        </w:rPr>
      </w:pPr>
      <w:r w:rsidRPr="00A65DCA">
        <w:rPr>
          <w:rFonts w:ascii="Times New Roman" w:eastAsia="Times New Roman" w:hAnsi="Times New Roman" w:cs="Times New Roman"/>
          <w:sz w:val="24"/>
          <w:szCs w:val="24"/>
          <w:highlight w:val="yellow"/>
        </w:rPr>
        <w:t xml:space="preserve">Foreseeability, in this case, depends on the information that the employer understands or ought to understand pertaining to the employee. However, due to the nature of mental illnesses, they are harder to foresee as compared to physical injuries. Therefore, mental disorders can only be easy to foresee if the employer knows the employee. In this case, it was revealed that the defendant was aware of the past health history of the plaintiff, especially after the medical evaluation by the defendant's medical officer who reported that the plaintiff would suffer illnesses that may result in him being hospitalized. The general assumption is that employers are </w:t>
      </w:r>
      <w:r w:rsidR="00A07C5D" w:rsidRPr="00A65DCA">
        <w:rPr>
          <w:rFonts w:ascii="Times New Roman" w:eastAsia="Times New Roman" w:hAnsi="Times New Roman" w:cs="Times New Roman"/>
          <w:sz w:val="24"/>
          <w:szCs w:val="24"/>
          <w:highlight w:val="yellow"/>
        </w:rPr>
        <w:t>supposed</w:t>
      </w:r>
      <w:r w:rsidRPr="00A65DCA">
        <w:rPr>
          <w:rFonts w:ascii="Times New Roman" w:eastAsia="Times New Roman" w:hAnsi="Times New Roman" w:cs="Times New Roman"/>
          <w:sz w:val="24"/>
          <w:szCs w:val="24"/>
          <w:highlight w:val="yellow"/>
        </w:rPr>
        <w:t xml:space="preserve"> to assume that employees can </w:t>
      </w:r>
      <w:r w:rsidR="00A07C5D" w:rsidRPr="00A65DCA">
        <w:rPr>
          <w:rFonts w:ascii="Times New Roman" w:eastAsia="Times New Roman" w:hAnsi="Times New Roman" w:cs="Times New Roman"/>
          <w:sz w:val="24"/>
          <w:szCs w:val="24"/>
          <w:highlight w:val="yellow"/>
        </w:rPr>
        <w:t>bear</w:t>
      </w:r>
      <w:r w:rsidRPr="00A65DCA">
        <w:rPr>
          <w:rFonts w:ascii="Times New Roman" w:eastAsia="Times New Roman" w:hAnsi="Times New Roman" w:cs="Times New Roman"/>
          <w:sz w:val="24"/>
          <w:szCs w:val="24"/>
          <w:highlight w:val="yellow"/>
        </w:rPr>
        <w:t xml:space="preserve"> the obvious pressures of any </w:t>
      </w:r>
      <w:r w:rsidR="00A07C5D" w:rsidRPr="00A65DCA">
        <w:rPr>
          <w:rFonts w:ascii="Times New Roman" w:eastAsia="Times New Roman" w:hAnsi="Times New Roman" w:cs="Times New Roman"/>
          <w:sz w:val="24"/>
          <w:szCs w:val="24"/>
          <w:highlight w:val="yellow"/>
        </w:rPr>
        <w:t>work</w:t>
      </w:r>
      <w:r w:rsidRPr="00A65DCA">
        <w:rPr>
          <w:rFonts w:ascii="Times New Roman" w:eastAsia="Times New Roman" w:hAnsi="Times New Roman" w:cs="Times New Roman"/>
          <w:sz w:val="24"/>
          <w:szCs w:val="24"/>
          <w:highlight w:val="yellow"/>
        </w:rPr>
        <w:t xml:space="preserve"> unless the employer is aware of a specific health problem of an employee or any vulnerability. Therefore, </w:t>
      </w:r>
      <w:r w:rsidRPr="00A65DCA">
        <w:rPr>
          <w:rFonts w:ascii="Times New Roman" w:eastAsia="Times New Roman" w:hAnsi="Times New Roman" w:cs="Times New Roman"/>
          <w:sz w:val="24"/>
          <w:szCs w:val="24"/>
          <w:highlight w:val="yellow"/>
        </w:rPr>
        <w:lastRenderedPageBreak/>
        <w:t xml:space="preserve">in this case, it can allude that the defendant breached his common law and statutory duty because he was aware of the health condition and vulnerability of the defendant. One of the </w:t>
      </w:r>
      <w:r w:rsidR="00A07C5D" w:rsidRPr="00A65DCA">
        <w:rPr>
          <w:rFonts w:ascii="Times New Roman" w:eastAsia="Times New Roman" w:hAnsi="Times New Roman" w:cs="Times New Roman"/>
          <w:sz w:val="24"/>
          <w:szCs w:val="24"/>
          <w:highlight w:val="yellow"/>
        </w:rPr>
        <w:t>aspects</w:t>
      </w:r>
      <w:r w:rsidRPr="00A65DCA">
        <w:rPr>
          <w:rFonts w:ascii="Times New Roman" w:eastAsia="Times New Roman" w:hAnsi="Times New Roman" w:cs="Times New Roman"/>
          <w:sz w:val="24"/>
          <w:szCs w:val="24"/>
          <w:highlight w:val="yellow"/>
        </w:rPr>
        <w:t xml:space="preserve"> to be considered in responding to the threshold question is the </w:t>
      </w:r>
      <w:r w:rsidR="00A07C5D" w:rsidRPr="00A65DCA">
        <w:rPr>
          <w:rFonts w:ascii="Times New Roman" w:eastAsia="Times New Roman" w:hAnsi="Times New Roman" w:cs="Times New Roman"/>
          <w:sz w:val="24"/>
          <w:szCs w:val="24"/>
          <w:highlight w:val="yellow"/>
        </w:rPr>
        <w:t>type</w:t>
      </w:r>
      <w:r w:rsidRPr="00A65DCA">
        <w:rPr>
          <w:rFonts w:ascii="Times New Roman" w:eastAsia="Times New Roman" w:hAnsi="Times New Roman" w:cs="Times New Roman"/>
          <w:sz w:val="24"/>
          <w:szCs w:val="24"/>
          <w:highlight w:val="yellow"/>
        </w:rPr>
        <w:t xml:space="preserve"> of the work executed by </w:t>
      </w:r>
      <w:r w:rsidR="00A07C5D" w:rsidRPr="00A65DCA">
        <w:rPr>
          <w:rFonts w:ascii="Times New Roman" w:eastAsia="Times New Roman" w:hAnsi="Times New Roman" w:cs="Times New Roman"/>
          <w:sz w:val="24"/>
          <w:szCs w:val="24"/>
          <w:highlight w:val="yellow"/>
        </w:rPr>
        <w:t>an</w:t>
      </w:r>
      <w:r w:rsidRPr="00A65DCA">
        <w:rPr>
          <w:rFonts w:ascii="Times New Roman" w:eastAsia="Times New Roman" w:hAnsi="Times New Roman" w:cs="Times New Roman"/>
          <w:sz w:val="24"/>
          <w:szCs w:val="24"/>
          <w:highlight w:val="yellow"/>
        </w:rPr>
        <w:t xml:space="preserve"> employee, and in this case, the main considerations are; whether the workload is too much for that specific job? Whether the work is emotionally or intellectually demanding to the employee? In this case, the work of the plaintiff seemed to be emotionally demanding, considering that he faced isolation, developed depression, and had a history of Attention Deficit Disorder.</w:t>
      </w:r>
    </w:p>
    <w:p w:rsidR="004A68A7" w:rsidRPr="008C7519" w:rsidRDefault="004A68A7" w:rsidP="00933B0E">
      <w:pPr>
        <w:spacing w:line="480" w:lineRule="auto"/>
        <w:ind w:firstLine="720"/>
        <w:rPr>
          <w:rFonts w:ascii="Times New Roman" w:eastAsia="Times New Roman" w:hAnsi="Times New Roman" w:cs="Times New Roman"/>
          <w:sz w:val="24"/>
          <w:szCs w:val="24"/>
          <w:highlight w:val="yellow"/>
        </w:rPr>
      </w:pPr>
      <w:r w:rsidRPr="008C7519">
        <w:rPr>
          <w:rFonts w:ascii="Times New Roman" w:eastAsia="Times New Roman" w:hAnsi="Times New Roman" w:cs="Times New Roman"/>
          <w:sz w:val="24"/>
          <w:szCs w:val="24"/>
          <w:highlight w:val="yellow"/>
        </w:rPr>
        <w:t xml:space="preserve">Another factor that is crucial in responding to the threshold question is employee signs of hindering harm to their health and the considerations, in this case, are; whether an employee has any specific vulnerability? Whether they have suffered any illness that can be attributed to work stress? In the given case law, the plaintiff lamented that he had a history of Attention Deficit Hyperactivity Disorder as well as mood disorder from his work activities in the United States, and therefore this factor also supports the evidence that there was a threshold to answer. The third principle is that employers </w:t>
      </w:r>
      <w:r w:rsidR="00A07C5D" w:rsidRPr="008C7519">
        <w:rPr>
          <w:rFonts w:ascii="Times New Roman" w:eastAsia="Times New Roman" w:hAnsi="Times New Roman" w:cs="Times New Roman"/>
          <w:sz w:val="24"/>
          <w:szCs w:val="24"/>
          <w:highlight w:val="yellow"/>
        </w:rPr>
        <w:t>can</w:t>
      </w:r>
      <w:r w:rsidRPr="008C7519">
        <w:rPr>
          <w:rFonts w:ascii="Times New Roman" w:eastAsia="Times New Roman" w:hAnsi="Times New Roman" w:cs="Times New Roman"/>
          <w:sz w:val="24"/>
          <w:szCs w:val="24"/>
          <w:highlight w:val="yellow"/>
        </w:rPr>
        <w:t xml:space="preserve"> only </w:t>
      </w:r>
      <w:r w:rsidR="00A07C5D" w:rsidRPr="008C7519">
        <w:rPr>
          <w:rFonts w:ascii="Times New Roman" w:eastAsia="Times New Roman" w:hAnsi="Times New Roman" w:cs="Times New Roman"/>
          <w:sz w:val="24"/>
          <w:szCs w:val="24"/>
          <w:highlight w:val="yellow"/>
        </w:rPr>
        <w:t>be said to</w:t>
      </w:r>
      <w:r w:rsidRPr="008C7519">
        <w:rPr>
          <w:rFonts w:ascii="Times New Roman" w:eastAsia="Times New Roman" w:hAnsi="Times New Roman" w:cs="Times New Roman"/>
          <w:sz w:val="24"/>
          <w:szCs w:val="24"/>
          <w:highlight w:val="yellow"/>
        </w:rPr>
        <w:t xml:space="preserve"> breach </w:t>
      </w:r>
      <w:r w:rsidR="00A07C5D" w:rsidRPr="008C7519">
        <w:rPr>
          <w:rFonts w:ascii="Times New Roman" w:eastAsia="Times New Roman" w:hAnsi="Times New Roman" w:cs="Times New Roman"/>
          <w:sz w:val="24"/>
          <w:szCs w:val="24"/>
          <w:highlight w:val="yellow"/>
        </w:rPr>
        <w:t>their duties</w:t>
      </w:r>
      <w:r w:rsidRPr="008C7519">
        <w:rPr>
          <w:rFonts w:ascii="Times New Roman" w:eastAsia="Times New Roman" w:hAnsi="Times New Roman" w:cs="Times New Roman"/>
          <w:sz w:val="24"/>
          <w:szCs w:val="24"/>
          <w:highlight w:val="yellow"/>
        </w:rPr>
        <w:t xml:space="preserve"> if they </w:t>
      </w:r>
      <w:r w:rsidR="00A07C5D" w:rsidRPr="008C7519">
        <w:rPr>
          <w:rFonts w:ascii="Times New Roman" w:eastAsia="Times New Roman" w:hAnsi="Times New Roman" w:cs="Times New Roman"/>
          <w:sz w:val="24"/>
          <w:szCs w:val="24"/>
          <w:highlight w:val="yellow"/>
        </w:rPr>
        <w:t>fail</w:t>
      </w:r>
      <w:r w:rsidRPr="008C7519">
        <w:rPr>
          <w:rFonts w:ascii="Times New Roman" w:eastAsia="Times New Roman" w:hAnsi="Times New Roman" w:cs="Times New Roman"/>
          <w:sz w:val="24"/>
          <w:szCs w:val="24"/>
          <w:highlight w:val="yellow"/>
        </w:rPr>
        <w:t xml:space="preserve"> to take the necessary </w:t>
      </w:r>
      <w:r w:rsidR="00A07C5D" w:rsidRPr="008C7519">
        <w:rPr>
          <w:rFonts w:ascii="Times New Roman" w:eastAsia="Times New Roman" w:hAnsi="Times New Roman" w:cs="Times New Roman"/>
          <w:sz w:val="24"/>
          <w:szCs w:val="24"/>
          <w:highlight w:val="yellow"/>
        </w:rPr>
        <w:t>action</w:t>
      </w:r>
      <w:r w:rsidRPr="008C7519">
        <w:rPr>
          <w:rFonts w:ascii="Times New Roman" w:eastAsia="Times New Roman" w:hAnsi="Times New Roman" w:cs="Times New Roman"/>
          <w:sz w:val="24"/>
          <w:szCs w:val="24"/>
          <w:highlight w:val="yellow"/>
        </w:rPr>
        <w:t xml:space="preserve"> that are compatible with the current circumstances, having the conscience of the magnitude of the risk that may arise. In this case, after the defendant became aware of the health status of the plaintiff, he took several actions. For example, following the revelation that the plaintiff had Attention Deficit Hyperactivity Disorder as well as a mood disorder, various recommendations as well as treatment plans, were put in place. Also, the defendant put in place, structures to monitor stress in the workplace and when the plaintiff fell sick while in South Africa, the defendant's personnel took care of him, and this proves that there was no threshold question to answer. </w:t>
      </w:r>
    </w:p>
    <w:p w:rsidR="0012659C" w:rsidRPr="00933B0E" w:rsidRDefault="004A68A7" w:rsidP="00933B0E">
      <w:pPr>
        <w:spacing w:line="480" w:lineRule="auto"/>
        <w:ind w:firstLine="720"/>
        <w:rPr>
          <w:rFonts w:ascii="Times New Roman" w:eastAsia="Times New Roman" w:hAnsi="Times New Roman" w:cs="Times New Roman"/>
          <w:sz w:val="24"/>
          <w:szCs w:val="24"/>
        </w:rPr>
      </w:pPr>
      <w:r w:rsidRPr="00A65DCA">
        <w:rPr>
          <w:rFonts w:ascii="Times New Roman" w:eastAsia="Times New Roman" w:hAnsi="Times New Roman" w:cs="Times New Roman"/>
          <w:sz w:val="24"/>
          <w:szCs w:val="24"/>
        </w:rPr>
        <w:lastRenderedPageBreak/>
        <w:t xml:space="preserve">The fourth principle is that employers, who offer private advice services with referrals to suitable services like treatment or </w:t>
      </w:r>
      <w:r w:rsidR="0012659C" w:rsidRPr="00A65DCA">
        <w:rPr>
          <w:rFonts w:ascii="Times New Roman" w:eastAsia="Times New Roman" w:hAnsi="Times New Roman" w:cs="Times New Roman"/>
          <w:sz w:val="24"/>
          <w:szCs w:val="24"/>
        </w:rPr>
        <w:t>counseling</w:t>
      </w:r>
      <w:r w:rsidRPr="00A65DCA">
        <w:rPr>
          <w:rFonts w:ascii="Times New Roman" w:eastAsia="Times New Roman" w:hAnsi="Times New Roman" w:cs="Times New Roman"/>
          <w:sz w:val="24"/>
          <w:szCs w:val="24"/>
        </w:rPr>
        <w:t>, are not likely to have breached their duties</w:t>
      </w:r>
      <w:r w:rsidR="00FD74EB" w:rsidRPr="00A65DCA">
        <w:rPr>
          <w:rFonts w:ascii="Times New Roman" w:eastAsia="Times New Roman" w:hAnsi="Times New Roman" w:cs="Times New Roman"/>
          <w:sz w:val="24"/>
          <w:szCs w:val="24"/>
        </w:rPr>
        <w:t xml:space="preserve"> (</w:t>
      </w:r>
      <w:r w:rsidR="00FD74EB" w:rsidRPr="00A65DCA">
        <w:rPr>
          <w:rFonts w:ascii="Times New Roman" w:hAnsi="Times New Roman" w:cs="Times New Roman"/>
          <w:sz w:val="24"/>
          <w:szCs w:val="24"/>
        </w:rPr>
        <w:t>Regan &amp; Murphy, 2017)</w:t>
      </w:r>
      <w:r w:rsidRPr="00A65DCA">
        <w:rPr>
          <w:rFonts w:ascii="Times New Roman" w:eastAsia="Times New Roman" w:hAnsi="Times New Roman" w:cs="Times New Roman"/>
          <w:sz w:val="24"/>
          <w:szCs w:val="24"/>
        </w:rPr>
        <w:t xml:space="preserve">. </w:t>
      </w:r>
      <w:r w:rsidRPr="008C7519">
        <w:rPr>
          <w:rFonts w:ascii="Times New Roman" w:eastAsia="Times New Roman" w:hAnsi="Times New Roman" w:cs="Times New Roman"/>
          <w:sz w:val="24"/>
          <w:szCs w:val="24"/>
          <w:highlight w:val="yellow"/>
        </w:rPr>
        <w:t>Based on this principle, the defendant had a consultant who referred the plaintiff to a psychologist as well as a psychiatrist for counseling services. Fifth, the claimant or plaintiff must prove that the defendant's breach of duty has resulted in the harm suffered by the claimant. Therefore, it is not sufficient to only show that the harm suffered as a result of occupational stress. In the given case law, there is no sufficient evidence to prove that the defendant breached common law or his statutory duties, causing subsequent harm to the plaintiff. Rather, the majority of the harm incurred by the plaintiff as a result of occupational stress. The other principle holds that where the harm suffered by an employee has wide causes, the employer is only entitled to pay for the harm that is a result of their breach. Based on the principles of Hatton, it seems that the plaintiff did not stand a chance to claim for damages as a result of psychological stress, although it is evident that he suffered psychologically in his employment course. Therefore, based on the decision of this case, it seems there is a room for a nervous shock in the Irish law system concerning the award of damages for occupational stress.</w:t>
      </w:r>
    </w:p>
    <w:p w:rsidR="00933B0E" w:rsidRDefault="00933B0E" w:rsidP="00933B0E">
      <w:pPr>
        <w:spacing w:line="480" w:lineRule="auto"/>
        <w:jc w:val="center"/>
        <w:rPr>
          <w:rFonts w:ascii="Times New Roman" w:eastAsia="Times New Roman" w:hAnsi="Times New Roman" w:cs="Times New Roman"/>
          <w:b/>
          <w:sz w:val="24"/>
          <w:szCs w:val="24"/>
        </w:rPr>
      </w:pPr>
    </w:p>
    <w:p w:rsidR="00933B0E" w:rsidRDefault="00933B0E" w:rsidP="00933B0E">
      <w:pPr>
        <w:spacing w:line="480" w:lineRule="auto"/>
        <w:jc w:val="center"/>
        <w:rPr>
          <w:rFonts w:ascii="Times New Roman" w:eastAsia="Times New Roman" w:hAnsi="Times New Roman" w:cs="Times New Roman"/>
          <w:b/>
          <w:sz w:val="24"/>
          <w:szCs w:val="24"/>
        </w:rPr>
      </w:pPr>
    </w:p>
    <w:p w:rsidR="00933B0E" w:rsidRDefault="00933B0E" w:rsidP="00933B0E">
      <w:pPr>
        <w:spacing w:line="480" w:lineRule="auto"/>
        <w:jc w:val="center"/>
        <w:rPr>
          <w:rFonts w:ascii="Times New Roman" w:eastAsia="Times New Roman" w:hAnsi="Times New Roman" w:cs="Times New Roman"/>
          <w:b/>
          <w:sz w:val="24"/>
          <w:szCs w:val="24"/>
        </w:rPr>
      </w:pPr>
    </w:p>
    <w:p w:rsidR="00933B0E" w:rsidRDefault="00933B0E" w:rsidP="00933B0E">
      <w:pPr>
        <w:spacing w:line="480" w:lineRule="auto"/>
        <w:jc w:val="center"/>
        <w:rPr>
          <w:rFonts w:ascii="Times New Roman" w:eastAsia="Times New Roman" w:hAnsi="Times New Roman" w:cs="Times New Roman"/>
          <w:b/>
          <w:sz w:val="24"/>
          <w:szCs w:val="24"/>
        </w:rPr>
      </w:pPr>
    </w:p>
    <w:p w:rsidR="00A65DCA" w:rsidRDefault="00A65DCA" w:rsidP="00933B0E">
      <w:pPr>
        <w:spacing w:line="480" w:lineRule="auto"/>
        <w:jc w:val="center"/>
        <w:rPr>
          <w:rFonts w:ascii="Times New Roman" w:eastAsia="Times New Roman" w:hAnsi="Times New Roman" w:cs="Times New Roman"/>
          <w:b/>
          <w:sz w:val="24"/>
          <w:szCs w:val="24"/>
        </w:rPr>
      </w:pPr>
    </w:p>
    <w:p w:rsidR="00A65DCA" w:rsidRDefault="00A65DCA" w:rsidP="00933B0E">
      <w:pPr>
        <w:spacing w:line="480" w:lineRule="auto"/>
        <w:jc w:val="center"/>
        <w:rPr>
          <w:rFonts w:ascii="Times New Roman" w:eastAsia="Times New Roman" w:hAnsi="Times New Roman" w:cs="Times New Roman"/>
          <w:b/>
          <w:sz w:val="24"/>
          <w:szCs w:val="24"/>
        </w:rPr>
      </w:pPr>
    </w:p>
    <w:p w:rsidR="0012659C" w:rsidRPr="00933B0E" w:rsidRDefault="0012659C" w:rsidP="00933B0E">
      <w:pPr>
        <w:spacing w:line="480" w:lineRule="auto"/>
        <w:jc w:val="center"/>
        <w:rPr>
          <w:rFonts w:ascii="Times New Roman" w:eastAsia="Times New Roman" w:hAnsi="Times New Roman" w:cs="Times New Roman"/>
          <w:b/>
          <w:sz w:val="24"/>
          <w:szCs w:val="24"/>
        </w:rPr>
      </w:pPr>
      <w:bookmarkStart w:id="0" w:name="_GoBack"/>
      <w:bookmarkEnd w:id="0"/>
      <w:r w:rsidRPr="00933B0E">
        <w:rPr>
          <w:rFonts w:ascii="Times New Roman" w:eastAsia="Times New Roman" w:hAnsi="Times New Roman" w:cs="Times New Roman"/>
          <w:b/>
          <w:sz w:val="24"/>
          <w:szCs w:val="24"/>
        </w:rPr>
        <w:lastRenderedPageBreak/>
        <w:t>References</w:t>
      </w:r>
    </w:p>
    <w:p w:rsidR="00F3417C" w:rsidRPr="00933B0E" w:rsidRDefault="00F3417C" w:rsidP="00933B0E">
      <w:pPr>
        <w:pStyle w:val="Heading1"/>
        <w:spacing w:line="480" w:lineRule="auto"/>
        <w:ind w:left="720" w:hanging="720"/>
        <w:rPr>
          <w:b w:val="0"/>
          <w:sz w:val="24"/>
          <w:szCs w:val="24"/>
        </w:rPr>
      </w:pPr>
      <w:r w:rsidRPr="00933B0E">
        <w:rPr>
          <w:b w:val="0"/>
          <w:sz w:val="24"/>
          <w:szCs w:val="24"/>
        </w:rPr>
        <w:t xml:space="preserve">Christopher, P. (2015). Employer's representation, acted upon by employee, can give rise to variation of employment contract. </w:t>
      </w:r>
      <w:r w:rsidRPr="00933B0E">
        <w:rPr>
          <w:b w:val="0"/>
          <w:i/>
          <w:sz w:val="24"/>
          <w:szCs w:val="24"/>
        </w:rPr>
        <w:t>The Irish Times</w:t>
      </w:r>
      <w:r w:rsidRPr="00933B0E">
        <w:rPr>
          <w:b w:val="0"/>
          <w:sz w:val="24"/>
          <w:szCs w:val="24"/>
        </w:rPr>
        <w:t xml:space="preserve">. Retrieved from </w:t>
      </w:r>
      <w:hyperlink r:id="rId7" w:history="1">
        <w:r w:rsidRPr="00933B0E">
          <w:rPr>
            <w:rStyle w:val="Hyperlink"/>
            <w:b w:val="0"/>
            <w:sz w:val="24"/>
            <w:szCs w:val="24"/>
          </w:rPr>
          <w:t>https://www.irishtimes.com/news/employer-s-representation-acted-upon-by-employee-can-give-rise-to-variation-of-employment-contract-1.416868</w:t>
        </w:r>
      </w:hyperlink>
    </w:p>
    <w:p w:rsidR="00F3417C" w:rsidRPr="00933B0E" w:rsidRDefault="00F3417C" w:rsidP="00933B0E">
      <w:pPr>
        <w:pStyle w:val="Heading1"/>
        <w:spacing w:line="480" w:lineRule="auto"/>
        <w:ind w:left="720" w:hanging="720"/>
        <w:rPr>
          <w:b w:val="0"/>
          <w:sz w:val="24"/>
          <w:szCs w:val="24"/>
        </w:rPr>
      </w:pPr>
      <w:r w:rsidRPr="00933B0E">
        <w:rPr>
          <w:b w:val="0"/>
          <w:sz w:val="24"/>
          <w:szCs w:val="24"/>
        </w:rPr>
        <w:t xml:space="preserve">De Saules, D. (2017). Liability for psychiatric harm in employer’s liability cases: Hatton v Sutherland [2002] EWCA Civ 76. </w:t>
      </w:r>
      <w:r w:rsidRPr="00933B0E">
        <w:rPr>
          <w:b w:val="0"/>
          <w:i/>
          <w:sz w:val="24"/>
          <w:szCs w:val="24"/>
        </w:rPr>
        <w:t>Law and Litigation</w:t>
      </w:r>
      <w:r w:rsidRPr="00933B0E">
        <w:rPr>
          <w:b w:val="0"/>
          <w:sz w:val="24"/>
          <w:szCs w:val="24"/>
        </w:rPr>
        <w:t xml:space="preserve">. Retrieved from </w:t>
      </w:r>
      <w:hyperlink r:id="rId8" w:history="1">
        <w:r w:rsidRPr="00933B0E">
          <w:rPr>
            <w:rStyle w:val="Hyperlink"/>
            <w:b w:val="0"/>
            <w:sz w:val="24"/>
            <w:szCs w:val="24"/>
          </w:rPr>
          <w:t>https://dominicdesaulles.wordpress.com/2017/10/04/liability-for-psychiatric-harm-in-employers-liability-cases-hatton-v-sutherland-2002-ewca-civ-76/</w:t>
        </w:r>
      </w:hyperlink>
    </w:p>
    <w:p w:rsidR="00F3417C" w:rsidRPr="00933B0E" w:rsidRDefault="00F3417C" w:rsidP="00933B0E">
      <w:pPr>
        <w:pStyle w:val="Heading1"/>
        <w:spacing w:line="480" w:lineRule="auto"/>
        <w:ind w:left="720" w:hanging="720"/>
        <w:rPr>
          <w:b w:val="0"/>
          <w:sz w:val="24"/>
          <w:szCs w:val="24"/>
        </w:rPr>
      </w:pPr>
      <w:r w:rsidRPr="00933B0E">
        <w:rPr>
          <w:rStyle w:val="englishlanguage"/>
          <w:b w:val="0"/>
          <w:sz w:val="24"/>
          <w:szCs w:val="24"/>
        </w:rPr>
        <w:t>Electronic Irish Statute Book</w:t>
      </w:r>
      <w:r w:rsidRPr="00933B0E">
        <w:rPr>
          <w:b w:val="0"/>
          <w:sz w:val="24"/>
          <w:szCs w:val="24"/>
        </w:rPr>
        <w:t xml:space="preserve">.(2015).Unfair Dismissals Act, 1977. Retrieved from </w:t>
      </w:r>
      <w:hyperlink r:id="rId9" w:history="1">
        <w:r w:rsidRPr="00933B0E">
          <w:rPr>
            <w:rStyle w:val="Hyperlink"/>
            <w:b w:val="0"/>
            <w:sz w:val="24"/>
            <w:szCs w:val="24"/>
          </w:rPr>
          <w:t>http://www.irishstatutebook.ie/eli/1977/act/10/enacted/en/html</w:t>
        </w:r>
      </w:hyperlink>
    </w:p>
    <w:p w:rsidR="00F3417C" w:rsidRPr="00933B0E" w:rsidRDefault="00F3417C" w:rsidP="00933B0E">
      <w:pPr>
        <w:pStyle w:val="Heading1"/>
        <w:spacing w:line="480" w:lineRule="auto"/>
        <w:ind w:left="720" w:hanging="720"/>
        <w:rPr>
          <w:b w:val="0"/>
          <w:sz w:val="24"/>
          <w:szCs w:val="24"/>
        </w:rPr>
      </w:pPr>
      <w:r w:rsidRPr="00933B0E">
        <w:rPr>
          <w:b w:val="0"/>
          <w:sz w:val="24"/>
          <w:szCs w:val="24"/>
        </w:rPr>
        <w:t>Fagan, S. (2008).The Impact of Absenteeism in the Irish Workplace Recommendations and Policies for Prevention.</w:t>
      </w:r>
      <w:r w:rsidRPr="00933B0E">
        <w:rPr>
          <w:b w:val="0"/>
          <w:i/>
          <w:sz w:val="24"/>
          <w:szCs w:val="24"/>
        </w:rPr>
        <w:t>National College of Ireland.</w:t>
      </w:r>
      <w:r w:rsidRPr="00933B0E">
        <w:rPr>
          <w:b w:val="0"/>
          <w:sz w:val="24"/>
          <w:szCs w:val="24"/>
        </w:rPr>
        <w:t xml:space="preserve">Retrieved from </w:t>
      </w:r>
      <w:hyperlink r:id="rId10" w:history="1">
        <w:r w:rsidRPr="00933B0E">
          <w:rPr>
            <w:rStyle w:val="Hyperlink"/>
            <w:b w:val="0"/>
            <w:sz w:val="24"/>
            <w:szCs w:val="24"/>
          </w:rPr>
          <w:t>http://norma.ncirl.ie/423/4/Selena_Fagan.pdf</w:t>
        </w:r>
      </w:hyperlink>
    </w:p>
    <w:p w:rsidR="00F3417C" w:rsidRPr="00933B0E" w:rsidRDefault="00F3417C" w:rsidP="00933B0E">
      <w:pPr>
        <w:pStyle w:val="Heading1"/>
        <w:spacing w:line="480" w:lineRule="auto"/>
        <w:ind w:left="720" w:hanging="720"/>
        <w:rPr>
          <w:b w:val="0"/>
          <w:sz w:val="24"/>
          <w:szCs w:val="24"/>
        </w:rPr>
      </w:pPr>
      <w:r w:rsidRPr="00933B0E">
        <w:rPr>
          <w:b w:val="0"/>
          <w:sz w:val="24"/>
          <w:szCs w:val="24"/>
        </w:rPr>
        <w:t xml:space="preserve">High Court of Ireland Decisions. (2004). McGrath v. Trintech Technologies Ltd. &amp;Anor [2004] IEHC 342 (29 October 2004). Retrieved from </w:t>
      </w:r>
      <w:hyperlink r:id="rId11" w:history="1">
        <w:r w:rsidRPr="00933B0E">
          <w:rPr>
            <w:rStyle w:val="Hyperlink"/>
            <w:b w:val="0"/>
            <w:sz w:val="24"/>
            <w:szCs w:val="24"/>
          </w:rPr>
          <w:t>https://www.bailii.org/ie/cases/IEHC/2004/342.html</w:t>
        </w:r>
      </w:hyperlink>
    </w:p>
    <w:p w:rsidR="00F3417C" w:rsidRPr="00933B0E" w:rsidRDefault="00F3417C" w:rsidP="00933B0E">
      <w:pPr>
        <w:pStyle w:val="Heading1"/>
        <w:spacing w:line="480" w:lineRule="auto"/>
        <w:ind w:left="720" w:hanging="720"/>
        <w:rPr>
          <w:b w:val="0"/>
          <w:sz w:val="24"/>
          <w:szCs w:val="24"/>
        </w:rPr>
      </w:pPr>
      <w:r w:rsidRPr="00933B0E">
        <w:rPr>
          <w:b w:val="0"/>
          <w:sz w:val="24"/>
          <w:szCs w:val="24"/>
        </w:rPr>
        <w:t xml:space="preserve">Irish Aviation Authority.(2015). IAA Safety Policy Statement. Retrieved from </w:t>
      </w:r>
      <w:hyperlink r:id="rId12" w:history="1">
        <w:r w:rsidRPr="00933B0E">
          <w:rPr>
            <w:rStyle w:val="Hyperlink"/>
            <w:b w:val="0"/>
            <w:sz w:val="24"/>
            <w:szCs w:val="24"/>
          </w:rPr>
          <w:t>https://www.iaa.ie/safety/state-safety-programme/iaa-safety-policy-statement</w:t>
        </w:r>
      </w:hyperlink>
    </w:p>
    <w:p w:rsidR="00F3417C" w:rsidRPr="00933B0E" w:rsidRDefault="00F3417C" w:rsidP="00933B0E">
      <w:pPr>
        <w:pStyle w:val="Heading1"/>
        <w:spacing w:line="480" w:lineRule="auto"/>
        <w:ind w:left="720" w:hanging="720"/>
        <w:rPr>
          <w:b w:val="0"/>
          <w:sz w:val="24"/>
          <w:szCs w:val="24"/>
        </w:rPr>
      </w:pPr>
      <w:r w:rsidRPr="00933B0E">
        <w:rPr>
          <w:b w:val="0"/>
          <w:sz w:val="24"/>
          <w:szCs w:val="24"/>
        </w:rPr>
        <w:lastRenderedPageBreak/>
        <w:t xml:space="preserve">Law Reform Commission. (2016). Unfair Dismissals Act of 1977 Revised. Retrieved from </w:t>
      </w:r>
      <w:hyperlink r:id="rId13" w:history="1">
        <w:r w:rsidRPr="00933B0E">
          <w:rPr>
            <w:rStyle w:val="Hyperlink"/>
            <w:b w:val="0"/>
            <w:sz w:val="24"/>
            <w:szCs w:val="24"/>
          </w:rPr>
          <w:t>https://www.lawreform.ie/_fileupload/RevisedActs/WithAnnotations/HTML/EN_ACT_1977_0010.htm</w:t>
        </w:r>
      </w:hyperlink>
    </w:p>
    <w:p w:rsidR="00F3417C" w:rsidRPr="00933B0E" w:rsidRDefault="00F3417C" w:rsidP="00933B0E">
      <w:pPr>
        <w:spacing w:after="0" w:line="480" w:lineRule="auto"/>
        <w:ind w:left="720" w:hanging="720"/>
        <w:rPr>
          <w:rFonts w:ascii="Times New Roman" w:eastAsia="Times New Roman" w:hAnsi="Times New Roman" w:cs="Times New Roman"/>
          <w:sz w:val="24"/>
          <w:szCs w:val="24"/>
        </w:rPr>
      </w:pPr>
      <w:r w:rsidRPr="00F3417C">
        <w:rPr>
          <w:rFonts w:ascii="Times New Roman" w:eastAsia="Times New Roman" w:hAnsi="Times New Roman" w:cs="Times New Roman"/>
          <w:sz w:val="24"/>
          <w:szCs w:val="24"/>
        </w:rPr>
        <w:t>Law Society of Ireland, Byrne, G., &amp; Moffat, J. (2003).</w:t>
      </w:r>
      <w:r w:rsidRPr="00F3417C">
        <w:rPr>
          <w:rFonts w:ascii="Times New Roman" w:eastAsia="Times New Roman" w:hAnsi="Times New Roman" w:cs="Times New Roman"/>
          <w:i/>
          <w:iCs/>
          <w:sz w:val="24"/>
          <w:szCs w:val="24"/>
        </w:rPr>
        <w:t>Employment Law</w:t>
      </w:r>
      <w:r w:rsidRPr="00F3417C">
        <w:rPr>
          <w:rFonts w:ascii="Times New Roman" w:eastAsia="Times New Roman" w:hAnsi="Times New Roman" w:cs="Times New Roman"/>
          <w:sz w:val="24"/>
          <w:szCs w:val="24"/>
        </w:rPr>
        <w:t>.Oxford University Press.</w:t>
      </w:r>
    </w:p>
    <w:p w:rsidR="00F3417C" w:rsidRPr="00933B0E" w:rsidRDefault="00F3417C" w:rsidP="00933B0E">
      <w:pPr>
        <w:pStyle w:val="Heading1"/>
        <w:spacing w:line="480" w:lineRule="auto"/>
        <w:ind w:left="720" w:hanging="720"/>
        <w:rPr>
          <w:b w:val="0"/>
          <w:sz w:val="24"/>
          <w:szCs w:val="24"/>
        </w:rPr>
      </w:pPr>
      <w:r w:rsidRPr="00933B0E">
        <w:rPr>
          <w:b w:val="0"/>
          <w:sz w:val="24"/>
          <w:szCs w:val="24"/>
        </w:rPr>
        <w:t xml:space="preserve">Masiyenyama, K. (2019). Unfair Dismissal – What Remedies Are Available For Employees. </w:t>
      </w:r>
      <w:r w:rsidRPr="00933B0E">
        <w:rPr>
          <w:b w:val="0"/>
          <w:i/>
          <w:sz w:val="24"/>
          <w:szCs w:val="24"/>
        </w:rPr>
        <w:t>Gambe Law Group</w:t>
      </w:r>
      <w:r w:rsidRPr="00933B0E">
        <w:rPr>
          <w:b w:val="0"/>
          <w:sz w:val="24"/>
          <w:szCs w:val="24"/>
        </w:rPr>
        <w:t xml:space="preserve">. Retrieved from </w:t>
      </w:r>
      <w:hyperlink r:id="rId14" w:history="1">
        <w:r w:rsidRPr="00933B0E">
          <w:rPr>
            <w:rStyle w:val="Hyperlink"/>
            <w:b w:val="0"/>
            <w:sz w:val="24"/>
            <w:szCs w:val="24"/>
          </w:rPr>
          <w:t>http://glg.co.zw/unfair-dismissal-what-remedies-are-available-for-employees/</w:t>
        </w:r>
      </w:hyperlink>
    </w:p>
    <w:p w:rsidR="00F3417C" w:rsidRPr="00933B0E" w:rsidRDefault="00F3417C" w:rsidP="00933B0E">
      <w:pPr>
        <w:pStyle w:val="Heading1"/>
        <w:spacing w:line="480" w:lineRule="auto"/>
        <w:ind w:left="720" w:hanging="720"/>
        <w:rPr>
          <w:sz w:val="24"/>
          <w:szCs w:val="24"/>
        </w:rPr>
      </w:pPr>
      <w:r w:rsidRPr="00933B0E">
        <w:rPr>
          <w:b w:val="0"/>
          <w:sz w:val="24"/>
          <w:szCs w:val="24"/>
        </w:rPr>
        <w:t xml:space="preserve">Peninsula Team. (2012). Constructive Dismissal: The Burden of Proof. Retrieved from </w:t>
      </w:r>
      <w:hyperlink r:id="rId15" w:history="1">
        <w:r w:rsidRPr="00933B0E">
          <w:rPr>
            <w:rStyle w:val="Hyperlink"/>
            <w:b w:val="0"/>
            <w:sz w:val="24"/>
            <w:szCs w:val="24"/>
          </w:rPr>
          <w:t>https://www.peninsulagrouplimited.com/ie/blog/constructive-dismissal-the-burden-of-proof</w:t>
        </w:r>
        <w:r w:rsidRPr="00933B0E">
          <w:rPr>
            <w:rStyle w:val="Hyperlink"/>
            <w:sz w:val="24"/>
            <w:szCs w:val="24"/>
          </w:rPr>
          <w:t>/</w:t>
        </w:r>
      </w:hyperlink>
    </w:p>
    <w:p w:rsidR="00F3417C" w:rsidRPr="00933B0E" w:rsidRDefault="00F3417C" w:rsidP="00933B0E">
      <w:pPr>
        <w:spacing w:line="480" w:lineRule="auto"/>
        <w:ind w:left="720" w:hanging="720"/>
        <w:rPr>
          <w:rFonts w:ascii="Times New Roman" w:eastAsia="Times New Roman" w:hAnsi="Times New Roman" w:cs="Times New Roman"/>
          <w:sz w:val="24"/>
          <w:szCs w:val="24"/>
        </w:rPr>
      </w:pPr>
      <w:r w:rsidRPr="00933B0E">
        <w:rPr>
          <w:rFonts w:ascii="Times New Roman" w:eastAsia="Times New Roman" w:hAnsi="Times New Roman" w:cs="Times New Roman"/>
          <w:sz w:val="24"/>
          <w:szCs w:val="24"/>
        </w:rPr>
        <w:t xml:space="preserve">Peninsula Team. (2012). Landmark Cases: McGrath v Trintech- Stress Management. Retrieved from </w:t>
      </w:r>
      <w:hyperlink r:id="rId16" w:history="1">
        <w:r w:rsidRPr="00933B0E">
          <w:rPr>
            <w:rStyle w:val="Hyperlink"/>
            <w:rFonts w:ascii="Times New Roman" w:eastAsia="Times New Roman" w:hAnsi="Times New Roman" w:cs="Times New Roman"/>
            <w:sz w:val="24"/>
            <w:szCs w:val="24"/>
          </w:rPr>
          <w:t>https://www.peninsulagrouplimited.com/ie/blog/landmark-cases-mcgrath-v-trintech-stress-management/</w:t>
        </w:r>
      </w:hyperlink>
    </w:p>
    <w:p w:rsidR="00F3417C" w:rsidRPr="00F3417C" w:rsidRDefault="00F3417C" w:rsidP="00933B0E">
      <w:pPr>
        <w:spacing w:after="0" w:line="480" w:lineRule="auto"/>
        <w:ind w:left="720" w:hanging="720"/>
        <w:rPr>
          <w:rFonts w:ascii="Times New Roman" w:eastAsia="Times New Roman" w:hAnsi="Times New Roman" w:cs="Times New Roman"/>
          <w:sz w:val="24"/>
          <w:szCs w:val="24"/>
        </w:rPr>
      </w:pPr>
      <w:r w:rsidRPr="00F3417C">
        <w:rPr>
          <w:rFonts w:ascii="Times New Roman" w:eastAsia="Times New Roman" w:hAnsi="Times New Roman" w:cs="Times New Roman"/>
          <w:sz w:val="24"/>
          <w:szCs w:val="24"/>
        </w:rPr>
        <w:t xml:space="preserve">Perritt, H. H. (2006). </w:t>
      </w:r>
      <w:r w:rsidRPr="00F3417C">
        <w:rPr>
          <w:rFonts w:ascii="Times New Roman" w:eastAsia="Times New Roman" w:hAnsi="Times New Roman" w:cs="Times New Roman"/>
          <w:i/>
          <w:iCs/>
          <w:sz w:val="24"/>
          <w:szCs w:val="24"/>
        </w:rPr>
        <w:t>Employee dismissal law and practice</w:t>
      </w:r>
      <w:r w:rsidRPr="00F3417C">
        <w:rPr>
          <w:rFonts w:ascii="Times New Roman" w:eastAsia="Times New Roman" w:hAnsi="Times New Roman" w:cs="Times New Roman"/>
          <w:sz w:val="24"/>
          <w:szCs w:val="24"/>
        </w:rPr>
        <w:t>.Aspen Publishers Online.</w:t>
      </w:r>
    </w:p>
    <w:p w:rsidR="00F3417C" w:rsidRPr="00933B0E" w:rsidRDefault="00F3417C" w:rsidP="00933B0E">
      <w:pPr>
        <w:pStyle w:val="Heading1"/>
        <w:spacing w:line="480" w:lineRule="auto"/>
        <w:ind w:left="720" w:hanging="720"/>
        <w:rPr>
          <w:b w:val="0"/>
          <w:sz w:val="24"/>
          <w:szCs w:val="24"/>
        </w:rPr>
      </w:pPr>
      <w:r w:rsidRPr="00933B0E">
        <w:rPr>
          <w:b w:val="0"/>
          <w:sz w:val="24"/>
          <w:szCs w:val="24"/>
        </w:rPr>
        <w:t>Regan, M. &amp; Murphy, A. (2017).Analysis of the Hatton Practical Propositions.</w:t>
      </w:r>
      <w:r w:rsidRPr="00933B0E">
        <w:rPr>
          <w:b w:val="0"/>
          <w:i/>
          <w:sz w:val="24"/>
          <w:szCs w:val="24"/>
        </w:rPr>
        <w:t>Bloomsbury Professional</w:t>
      </w:r>
      <w:r w:rsidRPr="00933B0E">
        <w:rPr>
          <w:b w:val="0"/>
          <w:sz w:val="24"/>
          <w:szCs w:val="24"/>
        </w:rPr>
        <w:t xml:space="preserve">. Retrieved from </w:t>
      </w:r>
      <w:hyperlink r:id="rId17" w:history="1">
        <w:r w:rsidRPr="00933B0E">
          <w:rPr>
            <w:rStyle w:val="Hyperlink"/>
            <w:b w:val="0"/>
            <w:sz w:val="24"/>
            <w:szCs w:val="24"/>
          </w:rPr>
          <w:t>https://www.bloomsburyprofessionalonline.com/view/employment-law-ireland/EL2-ch08-UID712.xml</w:t>
        </w:r>
      </w:hyperlink>
    </w:p>
    <w:p w:rsidR="00F3417C" w:rsidRPr="00933B0E" w:rsidRDefault="00F3417C" w:rsidP="00933B0E">
      <w:pPr>
        <w:spacing w:line="480" w:lineRule="auto"/>
        <w:ind w:left="720" w:hanging="720"/>
        <w:rPr>
          <w:rFonts w:ascii="Times New Roman" w:eastAsia="Times New Roman" w:hAnsi="Times New Roman" w:cs="Times New Roman"/>
          <w:sz w:val="24"/>
          <w:szCs w:val="24"/>
        </w:rPr>
      </w:pPr>
      <w:r w:rsidRPr="00933B0E">
        <w:rPr>
          <w:rFonts w:ascii="Times New Roman" w:eastAsia="Times New Roman" w:hAnsi="Times New Roman" w:cs="Times New Roman"/>
          <w:sz w:val="24"/>
          <w:szCs w:val="24"/>
        </w:rPr>
        <w:lastRenderedPageBreak/>
        <w:t xml:space="preserve">The Bar Council. (2012). </w:t>
      </w:r>
      <w:r w:rsidRPr="00933B0E">
        <w:rPr>
          <w:rFonts w:ascii="Times New Roman" w:hAnsi="Times New Roman" w:cs="Times New Roman"/>
          <w:sz w:val="24"/>
          <w:szCs w:val="24"/>
        </w:rPr>
        <w:t>Tort Claims For Bullying, Harassment And Stress At Work: Where Are We Now?</w:t>
      </w:r>
      <w:r w:rsidRPr="00933B0E">
        <w:rPr>
          <w:rFonts w:ascii="Times New Roman" w:eastAsia="Times New Roman" w:hAnsi="Times New Roman" w:cs="Times New Roman"/>
          <w:i/>
          <w:sz w:val="24"/>
          <w:szCs w:val="24"/>
        </w:rPr>
        <w:t>Continuing Professional Development</w:t>
      </w:r>
      <w:r w:rsidRPr="00933B0E">
        <w:rPr>
          <w:rFonts w:ascii="Times New Roman" w:eastAsia="Times New Roman" w:hAnsi="Times New Roman" w:cs="Times New Roman"/>
          <w:sz w:val="24"/>
          <w:szCs w:val="24"/>
        </w:rPr>
        <w:t xml:space="preserve">. Retrieved from </w:t>
      </w:r>
      <w:hyperlink r:id="rId18" w:history="1">
        <w:r w:rsidRPr="00933B0E">
          <w:rPr>
            <w:rStyle w:val="Hyperlink"/>
            <w:rFonts w:ascii="Times New Roman" w:eastAsia="Times New Roman" w:hAnsi="Times New Roman" w:cs="Times New Roman"/>
            <w:sz w:val="24"/>
            <w:szCs w:val="24"/>
          </w:rPr>
          <w:t>https://www.lawlibrary.ie/media/lawlibrary/media/Secure/20120519TortLawRyan.pdf</w:t>
        </w:r>
      </w:hyperlink>
    </w:p>
    <w:p w:rsidR="00F3417C" w:rsidRPr="00F3417C" w:rsidRDefault="00F3417C" w:rsidP="00933B0E">
      <w:pPr>
        <w:spacing w:after="0" w:line="480" w:lineRule="auto"/>
        <w:rPr>
          <w:rFonts w:ascii="Times New Roman" w:eastAsia="Times New Roman" w:hAnsi="Times New Roman" w:cs="Times New Roman"/>
          <w:sz w:val="24"/>
          <w:szCs w:val="24"/>
        </w:rPr>
      </w:pPr>
    </w:p>
    <w:p w:rsidR="009545E0" w:rsidRPr="00933B0E" w:rsidRDefault="009545E0" w:rsidP="00933B0E">
      <w:pPr>
        <w:pStyle w:val="Heading1"/>
        <w:spacing w:line="480" w:lineRule="auto"/>
        <w:rPr>
          <w:b w:val="0"/>
          <w:sz w:val="24"/>
          <w:szCs w:val="24"/>
        </w:rPr>
      </w:pPr>
    </w:p>
    <w:p w:rsidR="00FD74EB" w:rsidRPr="00933B0E" w:rsidRDefault="00FD74EB" w:rsidP="00933B0E">
      <w:pPr>
        <w:pStyle w:val="Heading1"/>
        <w:spacing w:line="480" w:lineRule="auto"/>
        <w:rPr>
          <w:b w:val="0"/>
          <w:sz w:val="24"/>
          <w:szCs w:val="24"/>
        </w:rPr>
      </w:pPr>
    </w:p>
    <w:p w:rsidR="006F01D6" w:rsidRPr="00933B0E" w:rsidRDefault="006F01D6" w:rsidP="00933B0E">
      <w:pPr>
        <w:pStyle w:val="Heading1"/>
        <w:spacing w:line="480" w:lineRule="auto"/>
        <w:rPr>
          <w:b w:val="0"/>
          <w:sz w:val="24"/>
          <w:szCs w:val="24"/>
        </w:rPr>
      </w:pPr>
    </w:p>
    <w:p w:rsidR="004A68A7" w:rsidRPr="00933B0E" w:rsidRDefault="004A68A7" w:rsidP="00933B0E">
      <w:pPr>
        <w:spacing w:line="480" w:lineRule="auto"/>
        <w:rPr>
          <w:rFonts w:ascii="Times New Roman" w:eastAsia="Times New Roman" w:hAnsi="Times New Roman" w:cs="Times New Roman"/>
          <w:sz w:val="24"/>
          <w:szCs w:val="24"/>
        </w:rPr>
      </w:pPr>
    </w:p>
    <w:p w:rsidR="004A68A7" w:rsidRPr="00933B0E" w:rsidRDefault="004A68A7" w:rsidP="00933B0E">
      <w:pPr>
        <w:spacing w:line="480" w:lineRule="auto"/>
        <w:rPr>
          <w:rFonts w:ascii="Times New Roman" w:eastAsia="Times New Roman" w:hAnsi="Times New Roman" w:cs="Times New Roman"/>
          <w:sz w:val="24"/>
          <w:szCs w:val="24"/>
        </w:rPr>
      </w:pPr>
    </w:p>
    <w:p w:rsidR="004A68A7" w:rsidRPr="00933B0E" w:rsidRDefault="004A68A7" w:rsidP="00933B0E">
      <w:pPr>
        <w:spacing w:line="480" w:lineRule="auto"/>
        <w:rPr>
          <w:rFonts w:ascii="Times New Roman" w:eastAsia="Times New Roman" w:hAnsi="Times New Roman" w:cs="Times New Roman"/>
          <w:sz w:val="24"/>
          <w:szCs w:val="24"/>
        </w:rPr>
      </w:pPr>
    </w:p>
    <w:p w:rsidR="00E976D6" w:rsidRPr="00933B0E" w:rsidRDefault="00E976D6" w:rsidP="00933B0E">
      <w:pPr>
        <w:spacing w:line="480" w:lineRule="auto"/>
        <w:rPr>
          <w:rFonts w:ascii="Times New Roman" w:hAnsi="Times New Roman" w:cs="Times New Roman"/>
          <w:sz w:val="24"/>
          <w:szCs w:val="24"/>
        </w:rPr>
      </w:pPr>
    </w:p>
    <w:sectPr w:rsidR="00E976D6" w:rsidRPr="00933B0E" w:rsidSect="00933B0E">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39B" w:rsidRDefault="00D3739B" w:rsidP="00933B0E">
      <w:pPr>
        <w:spacing w:after="0" w:line="240" w:lineRule="auto"/>
      </w:pPr>
      <w:r>
        <w:separator/>
      </w:r>
    </w:p>
  </w:endnote>
  <w:endnote w:type="continuationSeparator" w:id="1">
    <w:p w:rsidR="00D3739B" w:rsidRDefault="00D3739B" w:rsidP="00933B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39B" w:rsidRDefault="00D3739B" w:rsidP="00933B0E">
      <w:pPr>
        <w:spacing w:after="0" w:line="240" w:lineRule="auto"/>
      </w:pPr>
      <w:r>
        <w:separator/>
      </w:r>
    </w:p>
  </w:footnote>
  <w:footnote w:type="continuationSeparator" w:id="1">
    <w:p w:rsidR="00D3739B" w:rsidRDefault="00D3739B" w:rsidP="00933B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0E" w:rsidRPr="00933B0E" w:rsidRDefault="00933B0E">
    <w:pPr>
      <w:pStyle w:val="Header"/>
      <w:rPr>
        <w:rFonts w:ascii="Times New Roman" w:hAnsi="Times New Roman" w:cs="Times New Roman"/>
        <w:sz w:val="24"/>
        <w:szCs w:val="24"/>
      </w:rPr>
    </w:pPr>
    <w:r>
      <w:tab/>
    </w:r>
    <w:r>
      <w:tab/>
    </w:r>
    <w:r w:rsidR="00445F0F" w:rsidRPr="00933B0E">
      <w:rPr>
        <w:rFonts w:ascii="Times New Roman" w:hAnsi="Times New Roman" w:cs="Times New Roman"/>
        <w:sz w:val="24"/>
        <w:szCs w:val="24"/>
      </w:rPr>
      <w:fldChar w:fldCharType="begin"/>
    </w:r>
    <w:r w:rsidRPr="00933B0E">
      <w:rPr>
        <w:rFonts w:ascii="Times New Roman" w:hAnsi="Times New Roman" w:cs="Times New Roman"/>
        <w:sz w:val="24"/>
        <w:szCs w:val="24"/>
      </w:rPr>
      <w:instrText xml:space="preserve"> PAGE   \* MERGEFORMAT </w:instrText>
    </w:r>
    <w:r w:rsidR="00445F0F" w:rsidRPr="00933B0E">
      <w:rPr>
        <w:rFonts w:ascii="Times New Roman" w:hAnsi="Times New Roman" w:cs="Times New Roman"/>
        <w:sz w:val="24"/>
        <w:szCs w:val="24"/>
      </w:rPr>
      <w:fldChar w:fldCharType="separate"/>
    </w:r>
    <w:r w:rsidR="00631886">
      <w:rPr>
        <w:rFonts w:ascii="Times New Roman" w:hAnsi="Times New Roman" w:cs="Times New Roman"/>
        <w:noProof/>
        <w:sz w:val="24"/>
        <w:szCs w:val="24"/>
      </w:rPr>
      <w:t>16</w:t>
    </w:r>
    <w:r w:rsidR="00445F0F" w:rsidRPr="00933B0E">
      <w:rPr>
        <w:rFonts w:ascii="Times New Roman" w:hAnsi="Times New Roman" w:cs="Times New Roman"/>
        <w:noProof/>
        <w:sz w:val="24"/>
        <w:szCs w:val="24"/>
      </w:rPr>
      <w:fldChar w:fldCharType="end"/>
    </w:r>
  </w:p>
  <w:p w:rsidR="00933B0E" w:rsidRDefault="00933B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0E" w:rsidRPr="00933B0E" w:rsidRDefault="00933B0E">
    <w:pPr>
      <w:pStyle w:val="Header"/>
      <w:rPr>
        <w:rFonts w:ascii="Times New Roman" w:hAnsi="Times New Roman" w:cs="Times New Roman"/>
        <w:sz w:val="24"/>
        <w:szCs w:val="24"/>
      </w:rPr>
    </w:pPr>
    <w:r>
      <w:tab/>
    </w:r>
    <w:r>
      <w:tab/>
    </w:r>
    <w:r w:rsidR="00445F0F" w:rsidRPr="00933B0E">
      <w:rPr>
        <w:rFonts w:ascii="Times New Roman" w:hAnsi="Times New Roman" w:cs="Times New Roman"/>
        <w:sz w:val="24"/>
        <w:szCs w:val="24"/>
      </w:rPr>
      <w:fldChar w:fldCharType="begin"/>
    </w:r>
    <w:r w:rsidRPr="00933B0E">
      <w:rPr>
        <w:rFonts w:ascii="Times New Roman" w:hAnsi="Times New Roman" w:cs="Times New Roman"/>
        <w:sz w:val="24"/>
        <w:szCs w:val="24"/>
      </w:rPr>
      <w:instrText xml:space="preserve"> PAGE   \* MERGEFORMAT </w:instrText>
    </w:r>
    <w:r w:rsidR="00445F0F" w:rsidRPr="00933B0E">
      <w:rPr>
        <w:rFonts w:ascii="Times New Roman" w:hAnsi="Times New Roman" w:cs="Times New Roman"/>
        <w:sz w:val="24"/>
        <w:szCs w:val="24"/>
      </w:rPr>
      <w:fldChar w:fldCharType="separate"/>
    </w:r>
    <w:r w:rsidR="00631886">
      <w:rPr>
        <w:rFonts w:ascii="Times New Roman" w:hAnsi="Times New Roman" w:cs="Times New Roman"/>
        <w:noProof/>
        <w:sz w:val="24"/>
        <w:szCs w:val="24"/>
      </w:rPr>
      <w:t>1</w:t>
    </w:r>
    <w:r w:rsidR="00445F0F" w:rsidRPr="00933B0E">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C1914"/>
    <w:multiLevelType w:val="hybridMultilevel"/>
    <w:tmpl w:val="3B56E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64B6"/>
    <w:rsid w:val="00036758"/>
    <w:rsid w:val="000456BB"/>
    <w:rsid w:val="000560D9"/>
    <w:rsid w:val="000830F4"/>
    <w:rsid w:val="000A6B3D"/>
    <w:rsid w:val="000B3DA5"/>
    <w:rsid w:val="000C2C99"/>
    <w:rsid w:val="000F42DD"/>
    <w:rsid w:val="0012659C"/>
    <w:rsid w:val="001659BF"/>
    <w:rsid w:val="00186BA0"/>
    <w:rsid w:val="001D4D3B"/>
    <w:rsid w:val="00232C5A"/>
    <w:rsid w:val="00252003"/>
    <w:rsid w:val="00292C25"/>
    <w:rsid w:val="002E6302"/>
    <w:rsid w:val="00303C8F"/>
    <w:rsid w:val="00312FD6"/>
    <w:rsid w:val="003139DE"/>
    <w:rsid w:val="003C69BA"/>
    <w:rsid w:val="00401475"/>
    <w:rsid w:val="00405193"/>
    <w:rsid w:val="00407F2F"/>
    <w:rsid w:val="004178B3"/>
    <w:rsid w:val="00445F0F"/>
    <w:rsid w:val="00496D75"/>
    <w:rsid w:val="004A68A7"/>
    <w:rsid w:val="004A6E44"/>
    <w:rsid w:val="004F7E88"/>
    <w:rsid w:val="005659F1"/>
    <w:rsid w:val="0057137E"/>
    <w:rsid w:val="00573D0A"/>
    <w:rsid w:val="00593F14"/>
    <w:rsid w:val="005F2E4D"/>
    <w:rsid w:val="00607E49"/>
    <w:rsid w:val="00625A50"/>
    <w:rsid w:val="00631886"/>
    <w:rsid w:val="00642933"/>
    <w:rsid w:val="00652A6A"/>
    <w:rsid w:val="0069231C"/>
    <w:rsid w:val="006973E7"/>
    <w:rsid w:val="006F01D6"/>
    <w:rsid w:val="006F0533"/>
    <w:rsid w:val="00703272"/>
    <w:rsid w:val="007352D7"/>
    <w:rsid w:val="007423D3"/>
    <w:rsid w:val="00754206"/>
    <w:rsid w:val="007665CB"/>
    <w:rsid w:val="00767CCA"/>
    <w:rsid w:val="007702BF"/>
    <w:rsid w:val="00772F60"/>
    <w:rsid w:val="007A2998"/>
    <w:rsid w:val="00821C36"/>
    <w:rsid w:val="008A047A"/>
    <w:rsid w:val="008C7422"/>
    <w:rsid w:val="008C7519"/>
    <w:rsid w:val="008D2BAC"/>
    <w:rsid w:val="009049C8"/>
    <w:rsid w:val="00916034"/>
    <w:rsid w:val="00933B0E"/>
    <w:rsid w:val="009351E7"/>
    <w:rsid w:val="009545E0"/>
    <w:rsid w:val="00955406"/>
    <w:rsid w:val="009B6758"/>
    <w:rsid w:val="009D69C9"/>
    <w:rsid w:val="00A07C5D"/>
    <w:rsid w:val="00A314FA"/>
    <w:rsid w:val="00A64430"/>
    <w:rsid w:val="00A65DCA"/>
    <w:rsid w:val="00A951B1"/>
    <w:rsid w:val="00AA01C7"/>
    <w:rsid w:val="00AB20B9"/>
    <w:rsid w:val="00BF50CC"/>
    <w:rsid w:val="00C00F85"/>
    <w:rsid w:val="00C623EA"/>
    <w:rsid w:val="00CC7323"/>
    <w:rsid w:val="00CF7A23"/>
    <w:rsid w:val="00D20E6D"/>
    <w:rsid w:val="00D31D88"/>
    <w:rsid w:val="00D3739B"/>
    <w:rsid w:val="00D41701"/>
    <w:rsid w:val="00D55430"/>
    <w:rsid w:val="00DB5B11"/>
    <w:rsid w:val="00E73AE8"/>
    <w:rsid w:val="00E85175"/>
    <w:rsid w:val="00E976D6"/>
    <w:rsid w:val="00EA64B6"/>
    <w:rsid w:val="00EB0D71"/>
    <w:rsid w:val="00F063EA"/>
    <w:rsid w:val="00F3417C"/>
    <w:rsid w:val="00F6089B"/>
    <w:rsid w:val="00F70821"/>
    <w:rsid w:val="00F760DA"/>
    <w:rsid w:val="00F86FFD"/>
    <w:rsid w:val="00FB0168"/>
    <w:rsid w:val="00FB05C7"/>
    <w:rsid w:val="00FB56C5"/>
    <w:rsid w:val="00FD74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4B6"/>
  </w:style>
  <w:style w:type="paragraph" w:styleId="Heading1">
    <w:name w:val="heading 1"/>
    <w:basedOn w:val="Normal"/>
    <w:link w:val="Heading1Char"/>
    <w:uiPriority w:val="9"/>
    <w:qFormat/>
    <w:rsid w:val="001265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1475"/>
    <w:pPr>
      <w:ind w:left="720"/>
      <w:contextualSpacing/>
    </w:pPr>
  </w:style>
  <w:style w:type="character" w:styleId="Hyperlink">
    <w:name w:val="Hyperlink"/>
    <w:basedOn w:val="DefaultParagraphFont"/>
    <w:uiPriority w:val="99"/>
    <w:unhideWhenUsed/>
    <w:rsid w:val="0012659C"/>
    <w:rPr>
      <w:color w:val="0000FF" w:themeColor="hyperlink"/>
      <w:u w:val="single"/>
    </w:rPr>
  </w:style>
  <w:style w:type="character" w:customStyle="1" w:styleId="Heading1Char">
    <w:name w:val="Heading 1 Char"/>
    <w:basedOn w:val="DefaultParagraphFont"/>
    <w:link w:val="Heading1"/>
    <w:uiPriority w:val="9"/>
    <w:rsid w:val="0012659C"/>
    <w:rPr>
      <w:rFonts w:ascii="Times New Roman" w:eastAsia="Times New Roman" w:hAnsi="Times New Roman" w:cs="Times New Roman"/>
      <w:b/>
      <w:bCs/>
      <w:kern w:val="36"/>
      <w:sz w:val="48"/>
      <w:szCs w:val="48"/>
    </w:rPr>
  </w:style>
  <w:style w:type="character" w:customStyle="1" w:styleId="englishlanguage">
    <w:name w:val="english_language"/>
    <w:basedOn w:val="DefaultParagraphFont"/>
    <w:rsid w:val="009545E0"/>
  </w:style>
  <w:style w:type="paragraph" w:styleId="Header">
    <w:name w:val="header"/>
    <w:basedOn w:val="Normal"/>
    <w:link w:val="HeaderChar"/>
    <w:uiPriority w:val="99"/>
    <w:unhideWhenUsed/>
    <w:rsid w:val="00933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B0E"/>
  </w:style>
  <w:style w:type="paragraph" w:styleId="Footer">
    <w:name w:val="footer"/>
    <w:basedOn w:val="Normal"/>
    <w:link w:val="FooterChar"/>
    <w:uiPriority w:val="99"/>
    <w:unhideWhenUsed/>
    <w:rsid w:val="00933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B0E"/>
  </w:style>
  <w:style w:type="paragraph" w:styleId="BalloonText">
    <w:name w:val="Balloon Text"/>
    <w:basedOn w:val="Normal"/>
    <w:link w:val="BalloonTextChar"/>
    <w:uiPriority w:val="99"/>
    <w:semiHidden/>
    <w:unhideWhenUsed/>
    <w:rsid w:val="00933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B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4B6"/>
  </w:style>
  <w:style w:type="paragraph" w:styleId="Heading1">
    <w:name w:val="heading 1"/>
    <w:basedOn w:val="Normal"/>
    <w:link w:val="Heading1Char"/>
    <w:uiPriority w:val="9"/>
    <w:qFormat/>
    <w:rsid w:val="001265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1475"/>
    <w:pPr>
      <w:ind w:left="720"/>
      <w:contextualSpacing/>
    </w:pPr>
  </w:style>
  <w:style w:type="character" w:styleId="Hyperlink">
    <w:name w:val="Hyperlink"/>
    <w:basedOn w:val="DefaultParagraphFont"/>
    <w:uiPriority w:val="99"/>
    <w:unhideWhenUsed/>
    <w:rsid w:val="0012659C"/>
    <w:rPr>
      <w:color w:val="0000FF" w:themeColor="hyperlink"/>
      <w:u w:val="single"/>
    </w:rPr>
  </w:style>
  <w:style w:type="character" w:customStyle="1" w:styleId="Heading1Char">
    <w:name w:val="Heading 1 Char"/>
    <w:basedOn w:val="DefaultParagraphFont"/>
    <w:link w:val="Heading1"/>
    <w:uiPriority w:val="9"/>
    <w:rsid w:val="0012659C"/>
    <w:rPr>
      <w:rFonts w:ascii="Times New Roman" w:eastAsia="Times New Roman" w:hAnsi="Times New Roman" w:cs="Times New Roman"/>
      <w:b/>
      <w:bCs/>
      <w:kern w:val="36"/>
      <w:sz w:val="48"/>
      <w:szCs w:val="48"/>
    </w:rPr>
  </w:style>
  <w:style w:type="character" w:customStyle="1" w:styleId="englishlanguage">
    <w:name w:val="english_language"/>
    <w:basedOn w:val="DefaultParagraphFont"/>
    <w:rsid w:val="009545E0"/>
  </w:style>
  <w:style w:type="paragraph" w:styleId="Header">
    <w:name w:val="header"/>
    <w:basedOn w:val="Normal"/>
    <w:link w:val="HeaderChar"/>
    <w:uiPriority w:val="99"/>
    <w:unhideWhenUsed/>
    <w:rsid w:val="00933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B0E"/>
  </w:style>
  <w:style w:type="paragraph" w:styleId="Footer">
    <w:name w:val="footer"/>
    <w:basedOn w:val="Normal"/>
    <w:link w:val="FooterChar"/>
    <w:uiPriority w:val="99"/>
    <w:unhideWhenUsed/>
    <w:rsid w:val="00933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B0E"/>
  </w:style>
  <w:style w:type="paragraph" w:styleId="BalloonText">
    <w:name w:val="Balloon Text"/>
    <w:basedOn w:val="Normal"/>
    <w:link w:val="BalloonTextChar"/>
    <w:uiPriority w:val="99"/>
    <w:semiHidden/>
    <w:unhideWhenUsed/>
    <w:rsid w:val="00933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3B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67531639">
      <w:bodyDiv w:val="1"/>
      <w:marLeft w:val="0"/>
      <w:marRight w:val="0"/>
      <w:marTop w:val="0"/>
      <w:marBottom w:val="0"/>
      <w:divBdr>
        <w:top w:val="none" w:sz="0" w:space="0" w:color="auto"/>
        <w:left w:val="none" w:sz="0" w:space="0" w:color="auto"/>
        <w:bottom w:val="none" w:sz="0" w:space="0" w:color="auto"/>
        <w:right w:val="none" w:sz="0" w:space="0" w:color="auto"/>
      </w:divBdr>
    </w:div>
    <w:div w:id="1288470057">
      <w:bodyDiv w:val="1"/>
      <w:marLeft w:val="0"/>
      <w:marRight w:val="0"/>
      <w:marTop w:val="0"/>
      <w:marBottom w:val="0"/>
      <w:divBdr>
        <w:top w:val="none" w:sz="0" w:space="0" w:color="auto"/>
        <w:left w:val="none" w:sz="0" w:space="0" w:color="auto"/>
        <w:bottom w:val="none" w:sz="0" w:space="0" w:color="auto"/>
        <w:right w:val="none" w:sz="0" w:space="0" w:color="auto"/>
      </w:divBdr>
    </w:div>
    <w:div w:id="1577587263">
      <w:bodyDiv w:val="1"/>
      <w:marLeft w:val="0"/>
      <w:marRight w:val="0"/>
      <w:marTop w:val="0"/>
      <w:marBottom w:val="0"/>
      <w:divBdr>
        <w:top w:val="none" w:sz="0" w:space="0" w:color="auto"/>
        <w:left w:val="none" w:sz="0" w:space="0" w:color="auto"/>
        <w:bottom w:val="none" w:sz="0" w:space="0" w:color="auto"/>
        <w:right w:val="none" w:sz="0" w:space="0" w:color="auto"/>
      </w:divBdr>
      <w:divsChild>
        <w:div w:id="1576815577">
          <w:marLeft w:val="0"/>
          <w:marRight w:val="0"/>
          <w:marTop w:val="0"/>
          <w:marBottom w:val="0"/>
          <w:divBdr>
            <w:top w:val="none" w:sz="0" w:space="0" w:color="auto"/>
            <w:left w:val="none" w:sz="0" w:space="0" w:color="auto"/>
            <w:bottom w:val="none" w:sz="0" w:space="0" w:color="auto"/>
            <w:right w:val="none" w:sz="0" w:space="0" w:color="auto"/>
          </w:divBdr>
        </w:div>
      </w:divsChild>
    </w:div>
    <w:div w:id="1591349557">
      <w:bodyDiv w:val="1"/>
      <w:marLeft w:val="0"/>
      <w:marRight w:val="0"/>
      <w:marTop w:val="0"/>
      <w:marBottom w:val="0"/>
      <w:divBdr>
        <w:top w:val="none" w:sz="0" w:space="0" w:color="auto"/>
        <w:left w:val="none" w:sz="0" w:space="0" w:color="auto"/>
        <w:bottom w:val="none" w:sz="0" w:space="0" w:color="auto"/>
        <w:right w:val="none" w:sz="0" w:space="0" w:color="auto"/>
      </w:divBdr>
    </w:div>
    <w:div w:id="1823234679">
      <w:bodyDiv w:val="1"/>
      <w:marLeft w:val="0"/>
      <w:marRight w:val="0"/>
      <w:marTop w:val="0"/>
      <w:marBottom w:val="0"/>
      <w:divBdr>
        <w:top w:val="none" w:sz="0" w:space="0" w:color="auto"/>
        <w:left w:val="none" w:sz="0" w:space="0" w:color="auto"/>
        <w:bottom w:val="none" w:sz="0" w:space="0" w:color="auto"/>
        <w:right w:val="none" w:sz="0" w:space="0" w:color="auto"/>
      </w:divBdr>
    </w:div>
    <w:div w:id="1879704652">
      <w:bodyDiv w:val="1"/>
      <w:marLeft w:val="0"/>
      <w:marRight w:val="0"/>
      <w:marTop w:val="0"/>
      <w:marBottom w:val="0"/>
      <w:divBdr>
        <w:top w:val="none" w:sz="0" w:space="0" w:color="auto"/>
        <w:left w:val="none" w:sz="0" w:space="0" w:color="auto"/>
        <w:bottom w:val="none" w:sz="0" w:space="0" w:color="auto"/>
        <w:right w:val="none" w:sz="0" w:space="0" w:color="auto"/>
      </w:divBdr>
      <w:divsChild>
        <w:div w:id="1104303146">
          <w:marLeft w:val="0"/>
          <w:marRight w:val="0"/>
          <w:marTop w:val="0"/>
          <w:marBottom w:val="0"/>
          <w:divBdr>
            <w:top w:val="none" w:sz="0" w:space="0" w:color="auto"/>
            <w:left w:val="none" w:sz="0" w:space="0" w:color="auto"/>
            <w:bottom w:val="none" w:sz="0" w:space="0" w:color="auto"/>
            <w:right w:val="none" w:sz="0" w:space="0" w:color="auto"/>
          </w:divBdr>
        </w:div>
      </w:divsChild>
    </w:div>
    <w:div w:id="1953394172">
      <w:bodyDiv w:val="1"/>
      <w:marLeft w:val="0"/>
      <w:marRight w:val="0"/>
      <w:marTop w:val="0"/>
      <w:marBottom w:val="0"/>
      <w:divBdr>
        <w:top w:val="none" w:sz="0" w:space="0" w:color="auto"/>
        <w:left w:val="none" w:sz="0" w:space="0" w:color="auto"/>
        <w:bottom w:val="none" w:sz="0" w:space="0" w:color="auto"/>
        <w:right w:val="none" w:sz="0" w:space="0" w:color="auto"/>
      </w:divBdr>
    </w:div>
    <w:div w:id="206231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minicdesaulles.wordpress.com/2017/10/04/liability-for-psychiatric-harm-in-employers-liability-cases-hatton-v-sutherland-2002-ewca-civ-76/" TargetMode="External"/><Relationship Id="rId13" Type="http://schemas.openxmlformats.org/officeDocument/2006/relationships/hyperlink" Target="https://www.lawreform.ie/_fileupload/RevisedActs/WithAnnotations/HTML/EN_ACT_1977_0010.htm" TargetMode="External"/><Relationship Id="rId18" Type="http://schemas.openxmlformats.org/officeDocument/2006/relationships/hyperlink" Target="https://www.lawlibrary.ie/media/lawlibrary/media/Secure/20120519TortLawRyan.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irishtimes.com/news/employer-s-representation-acted-upon-by-employee-can-give-rise-to-variation-of-employment-contract-1.416868" TargetMode="External"/><Relationship Id="rId12" Type="http://schemas.openxmlformats.org/officeDocument/2006/relationships/hyperlink" Target="https://www.iaa.ie/safety/state-safety-programme/iaa-safety-policy-statement" TargetMode="External"/><Relationship Id="rId17" Type="http://schemas.openxmlformats.org/officeDocument/2006/relationships/hyperlink" Target="https://www.bloomsburyprofessionalonline.com/view/employment-law-ireland/EL2-ch08-UID712.xml" TargetMode="External"/><Relationship Id="rId2" Type="http://schemas.openxmlformats.org/officeDocument/2006/relationships/styles" Target="styles.xml"/><Relationship Id="rId16" Type="http://schemas.openxmlformats.org/officeDocument/2006/relationships/hyperlink" Target="https://www.peninsulagrouplimited.com/ie/blog/landmark-cases-mcgrath-v-trintech-stress-managemen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ilii.org/ie/cases/IEHC/2004/342.html" TargetMode="External"/><Relationship Id="rId5" Type="http://schemas.openxmlformats.org/officeDocument/2006/relationships/footnotes" Target="footnotes.xml"/><Relationship Id="rId15" Type="http://schemas.openxmlformats.org/officeDocument/2006/relationships/hyperlink" Target="https://www.peninsulagrouplimited.com/ie/blog/constructive-dismissal-the-burden-of-proof/" TargetMode="External"/><Relationship Id="rId23" Type="http://schemas.microsoft.com/office/2007/relationships/stylesWithEffects" Target="stylesWithEffects.xml"/><Relationship Id="rId10" Type="http://schemas.openxmlformats.org/officeDocument/2006/relationships/hyperlink" Target="http://norma.ncirl.ie/423/4/Selena_Fagan.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rishstatutebook.ie/eli/1977/act/10/enacted/en/html" TargetMode="External"/><Relationship Id="rId14" Type="http://schemas.openxmlformats.org/officeDocument/2006/relationships/hyperlink" Target="http://glg.co.zw/unfair-dismissal-what-remedies-are-available-for-employe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3950</Words>
  <Characters>22515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2021-01-22T19:42:00Z</dcterms:created>
  <dcterms:modified xsi:type="dcterms:W3CDTF">2021-01-22T19:42:00Z</dcterms:modified>
</cp:coreProperties>
</file>